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26276" w14:textId="31259888" w:rsidR="00E83508" w:rsidRPr="003058F5" w:rsidRDefault="0019558A" w:rsidP="00FF0A64">
      <w:r>
        <w:rPr>
          <w:noProof/>
        </w:rPr>
        <w:drawing>
          <wp:anchor distT="0" distB="0" distL="114300" distR="114300" simplePos="0" relativeHeight="251658245" behindDoc="1" locked="0" layoutInCell="1" allowOverlap="1" wp14:anchorId="0AA8ED79" wp14:editId="29BDDDD0">
            <wp:simplePos x="0" y="0"/>
            <wp:positionH relativeFrom="page">
              <wp:posOffset>0</wp:posOffset>
            </wp:positionH>
            <wp:positionV relativeFrom="paragraph">
              <wp:posOffset>-889635</wp:posOffset>
            </wp:positionV>
            <wp:extent cx="10692765" cy="6848475"/>
            <wp:effectExtent l="0" t="0" r="0" b="9525"/>
            <wp:wrapNone/>
            <wp:docPr id="2" name="Picture 2" descr="A picture containing fis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F2021_module-cover.png"/>
                    <pic:cNvPicPr/>
                  </pic:nvPicPr>
                  <pic:blipFill rotWithShape="1">
                    <a:blip r:embed="rId11" cstate="print">
                      <a:extLst>
                        <a:ext uri="{28A0092B-C50C-407E-A947-70E740481C1C}">
                          <a14:useLocalDpi xmlns:a14="http://schemas.microsoft.com/office/drawing/2010/main" val="0"/>
                        </a:ext>
                      </a:extLst>
                    </a:blip>
                    <a:srcRect b="9407"/>
                    <a:stretch/>
                  </pic:blipFill>
                  <pic:spPr bwMode="auto">
                    <a:xfrm>
                      <a:off x="0" y="0"/>
                      <a:ext cx="10692765" cy="6848475"/>
                    </a:xfrm>
                    <a:prstGeom prst="rect">
                      <a:avLst/>
                    </a:prstGeom>
                    <a:ln>
                      <a:noFill/>
                    </a:ln>
                    <a:extLst>
                      <a:ext uri="{53640926-AAD7-44d8-BBD7-CCE9431645EC}">
                        <a14:shadowObscured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4" behindDoc="0" locked="0" layoutInCell="1" allowOverlap="1" wp14:anchorId="2DEDE611" wp14:editId="0A5960AB">
            <wp:simplePos x="0" y="0"/>
            <wp:positionH relativeFrom="margin">
              <wp:align>left</wp:align>
            </wp:positionH>
            <wp:positionV relativeFrom="paragraph">
              <wp:posOffset>0</wp:posOffset>
            </wp:positionV>
            <wp:extent cx="1971675" cy="428825"/>
            <wp:effectExtent l="0" t="0" r="0" b="9525"/>
            <wp:wrapNone/>
            <wp:docPr id="5" name="Picture 5"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I-White-V1_big.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71675" cy="428825"/>
                    </a:xfrm>
                    <a:prstGeom prst="rect">
                      <a:avLst/>
                    </a:prstGeom>
                  </pic:spPr>
                </pic:pic>
              </a:graphicData>
            </a:graphic>
            <wp14:sizeRelH relativeFrom="page">
              <wp14:pctWidth>0</wp14:pctWidth>
            </wp14:sizeRelH>
            <wp14:sizeRelV relativeFrom="page">
              <wp14:pctHeight>0</wp14:pctHeight>
            </wp14:sizeRelV>
          </wp:anchor>
        </w:drawing>
      </w:r>
    </w:p>
    <w:p w14:paraId="178804F6" w14:textId="3DE80043" w:rsidR="00F573C1" w:rsidRPr="003058F5" w:rsidRDefault="00F573C1" w:rsidP="00FF0A64"/>
    <w:p w14:paraId="58331EC4" w14:textId="6EE338DF" w:rsidR="00F573C1" w:rsidRPr="003058F5" w:rsidRDefault="00F573C1" w:rsidP="00FF0A64"/>
    <w:p w14:paraId="7A2FB72C" w14:textId="27424E2D" w:rsidR="00B50385" w:rsidRPr="003058F5" w:rsidRDefault="00B50385" w:rsidP="00B50385">
      <w:pPr>
        <w:tabs>
          <w:tab w:val="center" w:pos="6848"/>
        </w:tabs>
        <w:spacing w:after="160" w:line="259" w:lineRule="auto"/>
      </w:pPr>
    </w:p>
    <w:p w14:paraId="07C567F8" w14:textId="27B29BBD" w:rsidR="00B50385" w:rsidRPr="003058F5" w:rsidRDefault="00B50385" w:rsidP="00B50385">
      <w:pPr>
        <w:tabs>
          <w:tab w:val="center" w:pos="6848"/>
        </w:tabs>
        <w:spacing w:after="160" w:line="259" w:lineRule="auto"/>
        <w:jc w:val="center"/>
      </w:pPr>
    </w:p>
    <w:p w14:paraId="24DEB001" w14:textId="0C92518D" w:rsidR="001211F5" w:rsidRPr="003058F5" w:rsidRDefault="007B2F8F" w:rsidP="00BE0934">
      <w:pPr>
        <w:jc w:val="center"/>
      </w:pPr>
      <w:bookmarkStart w:id="0" w:name="_Toc111791559"/>
      <w:bookmarkStart w:id="1" w:name="_Toc116053849"/>
      <w:bookmarkStart w:id="2" w:name="_Toc118884366"/>
      <w:r>
        <w:rPr>
          <w:caps/>
          <w:noProof/>
        </w:rPr>
        <mc:AlternateContent>
          <mc:Choice Requires="wps">
            <w:drawing>
              <wp:anchor distT="45720" distB="45720" distL="114300" distR="114300" simplePos="0" relativeHeight="251660293" behindDoc="0" locked="0" layoutInCell="1" allowOverlap="1" wp14:anchorId="644F4538" wp14:editId="4F7BE92B">
                <wp:simplePos x="0" y="0"/>
                <wp:positionH relativeFrom="margin">
                  <wp:align>left</wp:align>
                </wp:positionH>
                <wp:positionV relativeFrom="paragraph">
                  <wp:posOffset>2922270</wp:posOffset>
                </wp:positionV>
                <wp:extent cx="4200525" cy="23241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0525" cy="232410"/>
                        </a:xfrm>
                        <a:prstGeom prst="rect">
                          <a:avLst/>
                        </a:prstGeom>
                        <a:noFill/>
                        <a:ln w="9525">
                          <a:noFill/>
                          <a:miter lim="800000"/>
                          <a:headEnd/>
                          <a:tailEnd/>
                        </a:ln>
                      </wps:spPr>
                      <wps:txbx>
                        <w:txbxContent>
                          <w:p w14:paraId="3D062498" w14:textId="77777777" w:rsidR="007B2F8F" w:rsidRPr="00B50385" w:rsidRDefault="007B2F8F" w:rsidP="007B2F8F">
                            <w:pPr>
                              <w:rPr>
                                <w:color w:val="FFFFFF" w:themeColor="background1"/>
                                <w:sz w:val="16"/>
                                <w:szCs w:val="16"/>
                              </w:rPr>
                            </w:pPr>
                            <w:r>
                              <w:rPr>
                                <w:color w:val="FFFFFF" w:themeColor="background1"/>
                                <w:sz w:val="16"/>
                              </w:rPr>
                              <w:t>Dernière révision : 11 mai 2023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44F4538" id="_x0000_t202" coordsize="21600,21600" o:spt="202" path="m,l,21600r21600,l21600,xe">
                <v:stroke joinstyle="miter"/>
                <v:path gradientshapeok="t" o:connecttype="rect"/>
              </v:shapetype>
              <v:shape id="Text Box 2" o:spid="_x0000_s1026" type="#_x0000_t202" style="position:absolute;left:0;text-align:left;margin-left:0;margin-top:230.1pt;width:330.75pt;height:18.3pt;z-index:251660293;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" filled="f" stroked="f">
                <v:textbox style="mso-fit-shape-to-text:t">
                  <w:txbxContent>
                    <w:p w14:paraId="3D062498" w14:textId="77777777" w:rsidR="007B2F8F" w:rsidRPr="00B50385" w:rsidRDefault="007B2F8F" w:rsidP="007B2F8F">
                      <w:pPr>
                        <w:rPr>
                          <w:color w:val="FFFFFF" w:themeColor="background1"/>
                          <w:sz w:val="16"/>
                          <w:szCs w:val="16"/>
                        </w:rPr>
                      </w:pPr>
                      <w:r>
                        <w:rPr>
                          <w:color w:val="FFFFFF" w:themeColor="background1"/>
                          <w:sz w:val="16"/>
                        </w:rPr>
                        <w:t>Dernière révision : 11 mai 2023</w:t>
                      </w:r>
                    </w:p>
                  </w:txbxContent>
                </v:textbox>
                <w10:wrap anchorx="margin"/>
              </v:shape>
            </w:pict>
          </mc:Fallback>
        </mc:AlternateContent>
      </w:r>
      <w:r w:rsidR="00DE4E8A">
        <w:rPr>
          <w:noProof/>
        </w:rPr>
        <mc:AlternateContent>
          <mc:Choice Requires="wps">
            <w:drawing>
              <wp:anchor distT="45720" distB="45720" distL="114300" distR="114300" simplePos="0" relativeHeight="251658243" behindDoc="0" locked="0" layoutInCell="1" allowOverlap="1" wp14:anchorId="4FD7B478" wp14:editId="3F664FBB">
                <wp:simplePos x="0" y="0"/>
                <wp:positionH relativeFrom="margin">
                  <wp:posOffset>-1905</wp:posOffset>
                </wp:positionH>
                <wp:positionV relativeFrom="paragraph">
                  <wp:posOffset>1239520</wp:posOffset>
                </wp:positionV>
                <wp:extent cx="5581650" cy="805180"/>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805180"/>
                        </a:xfrm>
                        <a:prstGeom prst="rect">
                          <a:avLst/>
                        </a:prstGeom>
                        <a:noFill/>
                        <a:ln w="9525">
                          <a:noFill/>
                          <a:miter lim="800000"/>
                          <a:headEnd/>
                          <a:tailEnd/>
                        </a:ln>
                      </wps:spPr>
                      <wps:txbx>
                        <w:txbxContent>
                          <w:p w14:paraId="411EFB90" w14:textId="06E7940D" w:rsidR="00DF57FE" w:rsidRPr="00DE4E8A" w:rsidRDefault="00DF57FE">
                            <w:pPr>
                              <w:pStyle w:val="Titre"/>
                              <w:pBdr>
                                <w:bottom w:val="single" w:sz="4" w:space="1" w:color="00B0F0"/>
                              </w:pBdr>
                              <w:spacing w:before="0" w:after="120"/>
                              <w:rPr>
                                <w:b/>
                                <w:bCs/>
                                <w:color w:val="00B0F0"/>
                                <w:sz w:val="44"/>
                                <w:szCs w:val="44"/>
                              </w:rPr>
                            </w:pPr>
                            <w:r w:rsidRPr="00DE4E8A">
                              <w:rPr>
                                <w:b/>
                                <w:color w:val="00B0F0"/>
                                <w:sz w:val="44"/>
                                <w:szCs w:val="44"/>
                              </w:rPr>
                              <w:t>FONDS SPÉCULATIFS (</w:t>
                            </w:r>
                            <w:r w:rsidRPr="00DE4E8A">
                              <w:rPr>
                                <w:b/>
                                <w:i/>
                                <w:iCs/>
                                <w:color w:val="00B0F0"/>
                                <w:sz w:val="44"/>
                                <w:szCs w:val="44"/>
                              </w:rPr>
                              <w:t>HEDGE FUNDS</w:t>
                            </w:r>
                            <w:r w:rsidRPr="00DE4E8A">
                              <w:rPr>
                                <w:b/>
                                <w:color w:val="00B0F0"/>
                                <w:sz w:val="44"/>
                                <w:szCs w:val="44"/>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FD7B478" id="_x0000_s1027" type="#_x0000_t202" style="position:absolute;left:0;text-align:left;margin-left:-.15pt;margin-top:97.6pt;width:439.5pt;height:63.4pt;z-index:251658243;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" filled="f" stroked="f">
                <v:textbox style="mso-fit-shape-to-text:t">
                  <w:txbxContent>
                    <w:p w14:paraId="411EFB90" w14:textId="06E7940D" w:rsidR="00DF57FE" w:rsidRPr="00DE4E8A" w:rsidRDefault="00DF57FE">
                      <w:pPr>
                        <w:pStyle w:val="Titre"/>
                        <w:pBdr>
                          <w:bottom w:val="single" w:sz="4" w:space="1" w:color="00B0F0"/>
                        </w:pBdr>
                        <w:spacing w:before="0" w:after="120"/>
                        <w:rPr>
                          <w:b/>
                          <w:bCs/>
                          <w:color w:val="00B0F0"/>
                          <w:sz w:val="44"/>
                          <w:szCs w:val="44"/>
                        </w:rPr>
                      </w:pPr>
                      <w:r w:rsidRPr="00DE4E8A">
                        <w:rPr>
                          <w:b/>
                          <w:color w:val="00B0F0"/>
                          <w:sz w:val="44"/>
                          <w:szCs w:val="44"/>
                        </w:rPr>
                        <w:t>FONDS SPÉCULATIFS (</w:t>
                      </w:r>
                      <w:r w:rsidRPr="00DE4E8A">
                        <w:rPr>
                          <w:b/>
                          <w:i/>
                          <w:iCs/>
                          <w:color w:val="00B0F0"/>
                          <w:sz w:val="44"/>
                          <w:szCs w:val="44"/>
                        </w:rPr>
                        <w:t>HEDGE FUNDS</w:t>
                      </w:r>
                      <w:r w:rsidRPr="00DE4E8A">
                        <w:rPr>
                          <w:b/>
                          <w:color w:val="00B0F0"/>
                          <w:sz w:val="44"/>
                          <w:szCs w:val="44"/>
                        </w:rPr>
                        <w:t>)</w:t>
                      </w:r>
                    </w:p>
                  </w:txbxContent>
                </v:textbox>
                <w10:wrap anchorx="margin"/>
              </v:shape>
            </w:pict>
          </mc:Fallback>
        </mc:AlternateContent>
      </w:r>
      <w:r w:rsidR="008B5995">
        <w:rPr>
          <w:noProof/>
        </w:rPr>
        <mc:AlternateContent>
          <mc:Choice Requires="wps">
            <w:drawing>
              <wp:anchor distT="45720" distB="45720" distL="114300" distR="114300" simplePos="0" relativeHeight="251658241" behindDoc="0" locked="0" layoutInCell="1" allowOverlap="1" wp14:anchorId="64522051" wp14:editId="7AA9E516">
                <wp:simplePos x="0" y="0"/>
                <wp:positionH relativeFrom="margin">
                  <wp:posOffset>0</wp:posOffset>
                </wp:positionH>
                <wp:positionV relativeFrom="paragraph">
                  <wp:posOffset>855345</wp:posOffset>
                </wp:positionV>
                <wp:extent cx="5705475" cy="26543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5475" cy="265430"/>
                        </a:xfrm>
                        <a:prstGeom prst="rect">
                          <a:avLst/>
                        </a:prstGeom>
                        <a:noFill/>
                        <a:ln w="9525">
                          <a:noFill/>
                          <a:miter lim="800000"/>
                          <a:headEnd/>
                          <a:tailEnd/>
                        </a:ln>
                      </wps:spPr>
                      <wps:txbx>
                        <w:txbxContent>
                          <w:p w14:paraId="3FF8A212" w14:textId="5E40BFEC" w:rsidR="00DF57FE" w:rsidRPr="00B50385" w:rsidRDefault="00767929" w:rsidP="00932DAB">
                            <w:pPr>
                              <w:rPr>
                                <w:b/>
                                <w:bCs/>
                                <w:color w:val="FFFFFF" w:themeColor="background1"/>
                              </w:rPr>
                            </w:pPr>
                            <w:r>
                              <w:rPr>
                                <w:b/>
                                <w:color w:val="FFFFFF" w:themeColor="background1"/>
                              </w:rPr>
                              <w:t xml:space="preserve">Cadre de </w:t>
                            </w:r>
                            <w:proofErr w:type="spellStart"/>
                            <w:r>
                              <w:rPr>
                                <w:b/>
                                <w:color w:val="FFFFFF" w:themeColor="background1"/>
                              </w:rPr>
                              <w:t>r</w:t>
                            </w:r>
                            <w:r w:rsidR="00DF57FE">
                              <w:rPr>
                                <w:b/>
                                <w:color w:val="FFFFFF" w:themeColor="background1"/>
                              </w:rPr>
                              <w:t>eporting</w:t>
                            </w:r>
                            <w:proofErr w:type="spellEnd"/>
                            <w:r w:rsidR="00DF57FE">
                              <w:rPr>
                                <w:b/>
                                <w:color w:val="FFFFFF" w:themeColor="background1"/>
                              </w:rPr>
                              <w:t xml:space="preserve"> des PRI</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4522051" id="_x0000_s1028" type="#_x0000_t202" style="position:absolute;left:0;text-align:left;margin-left:0;margin-top:67.35pt;width:449.25pt;height:20.9pt;z-index:251658241;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" filled="f" stroked="f">
                <v:textbox style="mso-fit-shape-to-text:t">
                  <w:txbxContent>
                    <w:p w14:paraId="3FF8A212" w14:textId="5E40BFEC" w:rsidR="00DF57FE" w:rsidRPr="00B50385" w:rsidRDefault="00767929" w:rsidP="00932DAB">
                      <w:pPr>
                        <w:rPr>
                          <w:b/>
                          <w:bCs/>
                          <w:color w:val="FFFFFF" w:themeColor="background1"/>
                        </w:rPr>
                      </w:pPr>
                      <w:r>
                        <w:rPr>
                          <w:b/>
                          <w:color w:val="FFFFFF" w:themeColor="background1"/>
                        </w:rPr>
                        <w:t xml:space="preserve">Cadre de </w:t>
                      </w:r>
                      <w:proofErr w:type="spellStart"/>
                      <w:r>
                        <w:rPr>
                          <w:b/>
                          <w:color w:val="FFFFFF" w:themeColor="background1"/>
                        </w:rPr>
                        <w:t>r</w:t>
                      </w:r>
                      <w:r w:rsidR="00DF57FE">
                        <w:rPr>
                          <w:b/>
                          <w:color w:val="FFFFFF" w:themeColor="background1"/>
                        </w:rPr>
                        <w:t>eporting</w:t>
                      </w:r>
                      <w:proofErr w:type="spellEnd"/>
                      <w:r w:rsidR="00DF57FE">
                        <w:rPr>
                          <w:b/>
                          <w:color w:val="FFFFFF" w:themeColor="background1"/>
                        </w:rPr>
                        <w:t xml:space="preserve"> des PRI</w:t>
                      </w:r>
                    </w:p>
                  </w:txbxContent>
                </v:textbox>
                <w10:wrap anchorx="margin"/>
              </v:shape>
            </w:pict>
          </mc:Fallback>
        </mc:AlternateContent>
      </w:r>
      <w:r w:rsidR="008B5995">
        <w:rPr>
          <w:noProof/>
        </w:rPr>
        <mc:AlternateContent>
          <mc:Choice Requires="wps">
            <w:drawing>
              <wp:anchor distT="45720" distB="45720" distL="114300" distR="114300" simplePos="0" relativeHeight="251658240" behindDoc="0" locked="0" layoutInCell="1" allowOverlap="1" wp14:anchorId="17F40AD2" wp14:editId="139C3088">
                <wp:simplePos x="0" y="0"/>
                <wp:positionH relativeFrom="margin">
                  <wp:posOffset>0</wp:posOffset>
                </wp:positionH>
                <wp:positionV relativeFrom="paragraph">
                  <wp:posOffset>1845945</wp:posOffset>
                </wp:positionV>
                <wp:extent cx="4200525" cy="2984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0525" cy="298450"/>
                        </a:xfrm>
                        <a:prstGeom prst="rect">
                          <a:avLst/>
                        </a:prstGeom>
                        <a:noFill/>
                        <a:ln w="9525">
                          <a:noFill/>
                          <a:miter lim="800000"/>
                          <a:headEnd/>
                          <a:tailEnd/>
                        </a:ln>
                      </wps:spPr>
                      <wps:txbx>
                        <w:txbxContent>
                          <w:p w14:paraId="754EB771" w14:textId="61B72B03" w:rsidR="00DF57FE" w:rsidRPr="00BE0934" w:rsidRDefault="00DF57FE" w:rsidP="00290DD4">
                            <w:pPr>
                              <w:rPr>
                                <w:b/>
                                <w:bCs/>
                                <w:color w:val="00B0F0"/>
                                <w:sz w:val="24"/>
                                <w:szCs w:val="24"/>
                              </w:rPr>
                            </w:pPr>
                            <w:r>
                              <w:rPr>
                                <w:b/>
                                <w:color w:val="00B0F0"/>
                                <w:sz w:val="24"/>
                              </w:rPr>
                              <w:t>2023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7F40AD2" id="_x0000_s1029" type="#_x0000_t202" style="position:absolute;left:0;text-align:left;margin-left:0;margin-top:145.35pt;width:330.75pt;height:23.5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" filled="f" stroked="f">
                <v:textbox style="mso-fit-shape-to-text:t">
                  <w:txbxContent>
                    <w:p w14:paraId="754EB771" w14:textId="61B72B03" w:rsidR="00DF57FE" w:rsidRPr="00BE0934" w:rsidRDefault="00DF57FE" w:rsidP="00290DD4">
                      <w:pPr>
                        <w:rPr>
                          <w:b/>
                          <w:bCs/>
                          <w:color w:val="00B0F0"/>
                          <w:sz w:val="24"/>
                          <w:szCs w:val="24"/>
                        </w:rPr>
                      </w:pPr>
                      <w:r>
                        <w:rPr>
                          <w:b/>
                          <w:color w:val="00B0F0"/>
                          <w:sz w:val="24"/>
                        </w:rPr>
                        <w:t>2023</w:t>
                      </w:r>
                    </w:p>
                  </w:txbxContent>
                </v:textbox>
                <w10:wrap anchorx="margin"/>
              </v:shape>
            </w:pict>
          </mc:Fallback>
        </mc:AlternateContent>
      </w:r>
      <w:r w:rsidR="008B5995">
        <w:rPr>
          <w:noProof/>
        </w:rPr>
        <mc:AlternateContent>
          <mc:Choice Requires="wps">
            <w:drawing>
              <wp:anchor distT="45720" distB="45720" distL="114300" distR="114300" simplePos="0" relativeHeight="251658242" behindDoc="0" locked="0" layoutInCell="1" allowOverlap="1" wp14:anchorId="0D4024DD" wp14:editId="4DC422BD">
                <wp:simplePos x="0" y="0"/>
                <wp:positionH relativeFrom="margin">
                  <wp:align>left</wp:align>
                </wp:positionH>
                <wp:positionV relativeFrom="paragraph">
                  <wp:posOffset>3503295</wp:posOffset>
                </wp:positionV>
                <wp:extent cx="4200525" cy="23241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0525" cy="232410"/>
                        </a:xfrm>
                        <a:prstGeom prst="rect">
                          <a:avLst/>
                        </a:prstGeom>
                        <a:noFill/>
                        <a:ln w="9525">
                          <a:noFill/>
                          <a:miter lim="800000"/>
                          <a:headEnd/>
                          <a:tailEnd/>
                        </a:ln>
                      </wps:spPr>
                      <wps:txbx>
                        <w:txbxContent>
                          <w:p w14:paraId="739E359F" w14:textId="27AAA267" w:rsidR="00DF57FE" w:rsidRPr="00B50385" w:rsidRDefault="00DF57FE">
                            <w:pPr>
                              <w:rPr>
                                <w:color w:val="FFFFFF" w:themeColor="background1"/>
                                <w:sz w:val="16"/>
                                <w:szCs w:val="16"/>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D4024DD" id="_x0000_s1030" type="#_x0000_t202" style="position:absolute;left:0;text-align:left;margin-left:0;margin-top:275.85pt;width:330.75pt;height:18.3pt;z-index:25165824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" filled="f" stroked="f">
                <v:textbox style="mso-fit-shape-to-text:t">
                  <w:txbxContent>
                    <w:p w14:paraId="739E359F" w14:textId="27AAA267" w:rsidR="00DF57FE" w:rsidRPr="00B50385" w:rsidRDefault="00DF57FE">
                      <w:pPr>
                        <w:rPr>
                          <w:color w:val="FFFFFF" w:themeColor="background1"/>
                          <w:sz w:val="16"/>
                          <w:szCs w:val="16"/>
                        </w:rPr>
                      </w:pPr>
                    </w:p>
                  </w:txbxContent>
                </v:textbox>
                <w10:wrap anchorx="margin"/>
              </v:shape>
            </w:pict>
          </mc:Fallback>
        </mc:AlternateContent>
      </w:r>
      <w:bookmarkEnd w:id="0"/>
      <w:bookmarkEnd w:id="1"/>
      <w:bookmarkEnd w:id="2"/>
      <w:r w:rsidR="008B5995">
        <w:br w:type="page"/>
      </w:r>
      <w:bookmarkStart w:id="3" w:name="_Toc50988861"/>
      <w:bookmarkStart w:id="4" w:name="_Toc116053850"/>
    </w:p>
    <w:p w14:paraId="3674BAA5" w14:textId="718C0D14" w:rsidR="00AF407C" w:rsidRPr="00961A29" w:rsidRDefault="000F3CF4" w:rsidP="00961A29">
      <w:pPr>
        <w:rPr>
          <w:color w:val="2F5496"/>
          <w:sz w:val="40"/>
          <w:szCs w:val="40"/>
        </w:rPr>
      </w:pPr>
      <w:r>
        <w:rPr>
          <w:color w:val="2F5496"/>
          <w:sz w:val="40"/>
        </w:rPr>
        <w:lastRenderedPageBreak/>
        <w:t>Table des matière</w:t>
      </w:r>
      <w:bookmarkEnd w:id="3"/>
      <w:r>
        <w:rPr>
          <w:color w:val="2F5496"/>
          <w:sz w:val="40"/>
        </w:rPr>
        <w:t>s</w:t>
      </w:r>
      <w:bookmarkEnd w:id="4"/>
    </w:p>
    <w:p w14:paraId="50612EF1" w14:textId="3B52B196" w:rsidR="000F3CF4" w:rsidRPr="003058F5" w:rsidRDefault="000F3CF4" w:rsidP="000F3CF4"/>
    <w:sdt>
      <w:sdtPr>
        <w:rPr>
          <w:rFonts w:eastAsia="MS PGothic" w:cs="Times New Roman"/>
          <w:caps w:val="0"/>
          <w:noProof/>
          <w:color w:val="auto"/>
          <w:sz w:val="20"/>
          <w:szCs w:val="20"/>
        </w:rPr>
        <w:id w:val="-1404751413"/>
        <w:docPartObj>
          <w:docPartGallery w:val="Table of Contents"/>
          <w:docPartUnique/>
        </w:docPartObj>
      </w:sdtPr>
      <w:sdtEndPr>
        <w:rPr>
          <w:rFonts w:eastAsiaTheme="majorEastAsia" w:cstheme="majorBidi"/>
          <w:b/>
          <w:bCs/>
          <w:caps/>
          <w:noProof w:val="0"/>
          <w:color w:val="2F5496" w:themeColor="accent1" w:themeShade="BF"/>
          <w:sz w:val="24"/>
          <w:szCs w:val="32"/>
        </w:rPr>
      </w:sdtEndPr>
      <w:sdtContent>
        <w:p w14:paraId="4977E24E" w14:textId="51BFCD00" w:rsidR="005D6539" w:rsidRDefault="00961A29">
          <w:pPr>
            <w:pStyle w:val="TM1"/>
            <w:tabs>
              <w:tab w:val="left" w:pos="1540"/>
            </w:tabs>
            <w:rPr>
              <w:rFonts w:asciiTheme="minorHAnsi" w:eastAsiaTheme="minorEastAsia" w:hAnsiTheme="minorHAnsi" w:cstheme="minorBidi"/>
              <w:caps w:val="0"/>
              <w:noProof/>
              <w:color w:val="auto"/>
              <w:sz w:val="22"/>
              <w:szCs w:val="22"/>
              <w:lang w:eastAsia="fr-FR"/>
            </w:rPr>
          </w:pPr>
          <w:r>
            <w:fldChar w:fldCharType="begin"/>
          </w:r>
          <w:r>
            <w:instrText xml:space="preserve"> TOC \o "1-2" \h \z \u </w:instrText>
          </w:r>
          <w:r>
            <w:fldChar w:fldCharType="separate"/>
          </w:r>
        </w:p>
        <w:p w14:paraId="1731B6AF" w14:textId="11EE67B0" w:rsidR="005D6539" w:rsidRDefault="00420E81">
          <w:pPr>
            <w:pStyle w:val="TM1"/>
            <w:rPr>
              <w:rFonts w:asciiTheme="minorHAnsi" w:eastAsiaTheme="minorEastAsia" w:hAnsiTheme="minorHAnsi" w:cstheme="minorBidi"/>
              <w:caps w:val="0"/>
              <w:noProof/>
              <w:color w:val="auto"/>
              <w:sz w:val="22"/>
              <w:szCs w:val="22"/>
              <w:lang w:eastAsia="fr-FR"/>
            </w:rPr>
          </w:pPr>
          <w:hyperlink w:anchor="_Toc128064098" w:history="1">
            <w:r w:rsidR="005D6539" w:rsidRPr="001D4FD0">
              <w:rPr>
                <w:rStyle w:val="Lienhypertexte"/>
                <w:noProof/>
              </w:rPr>
              <w:t>Politique</w:t>
            </w:r>
            <w:r w:rsidR="005D6539">
              <w:rPr>
                <w:noProof/>
                <w:webHidden/>
              </w:rPr>
              <w:tab/>
            </w:r>
            <w:r w:rsidR="005D6539">
              <w:rPr>
                <w:noProof/>
                <w:webHidden/>
              </w:rPr>
              <w:fldChar w:fldCharType="begin"/>
            </w:r>
            <w:r w:rsidR="005D6539">
              <w:rPr>
                <w:noProof/>
                <w:webHidden/>
              </w:rPr>
              <w:instrText xml:space="preserve"> PAGEREF _Toc128064098 \h </w:instrText>
            </w:r>
            <w:r w:rsidR="005D6539">
              <w:rPr>
                <w:noProof/>
                <w:webHidden/>
              </w:rPr>
            </w:r>
            <w:r w:rsidR="005D6539">
              <w:rPr>
                <w:noProof/>
                <w:webHidden/>
              </w:rPr>
              <w:fldChar w:fldCharType="separate"/>
            </w:r>
            <w:r>
              <w:rPr>
                <w:noProof/>
                <w:webHidden/>
              </w:rPr>
              <w:t>5</w:t>
            </w:r>
            <w:r w:rsidR="005D6539">
              <w:rPr>
                <w:noProof/>
                <w:webHidden/>
              </w:rPr>
              <w:fldChar w:fldCharType="end"/>
            </w:r>
          </w:hyperlink>
        </w:p>
        <w:p w14:paraId="693A2413" w14:textId="42115F3B" w:rsidR="005D6539" w:rsidRDefault="00420E81">
          <w:pPr>
            <w:pStyle w:val="TM2"/>
            <w:rPr>
              <w:rFonts w:asciiTheme="minorHAnsi" w:eastAsiaTheme="minorEastAsia" w:hAnsiTheme="minorHAnsi" w:cstheme="minorBidi"/>
              <w:sz w:val="22"/>
              <w:szCs w:val="22"/>
              <w:lang w:eastAsia="fr-FR"/>
            </w:rPr>
          </w:pPr>
          <w:hyperlink w:anchor="_Toc128064099" w:history="1">
            <w:r w:rsidR="005D6539" w:rsidRPr="001D4FD0">
              <w:rPr>
                <w:rStyle w:val="Lienhypertexte"/>
              </w:rPr>
              <w:t>Lignes directrices relatives à l’investissement</w:t>
            </w:r>
            <w:r w:rsidR="005D6539">
              <w:rPr>
                <w:rStyle w:val="Lienhypertexte"/>
              </w:rPr>
              <w:t xml:space="preserve"> </w:t>
            </w:r>
            <w:r w:rsidR="005D6539" w:rsidRPr="001D4FD0">
              <w:rPr>
                <w:rStyle w:val="Lienhypertexte"/>
              </w:rPr>
              <w:t>[HF 1]</w:t>
            </w:r>
            <w:r w:rsidR="005D6539">
              <w:rPr>
                <w:webHidden/>
              </w:rPr>
              <w:tab/>
            </w:r>
            <w:r w:rsidR="005D6539">
              <w:rPr>
                <w:webHidden/>
              </w:rPr>
              <w:fldChar w:fldCharType="begin"/>
            </w:r>
            <w:r w:rsidR="005D6539">
              <w:rPr>
                <w:webHidden/>
              </w:rPr>
              <w:instrText xml:space="preserve"> PAGEREF _Toc128064099 \h </w:instrText>
            </w:r>
            <w:r w:rsidR="005D6539">
              <w:rPr>
                <w:webHidden/>
              </w:rPr>
            </w:r>
            <w:r w:rsidR="005D6539">
              <w:rPr>
                <w:webHidden/>
              </w:rPr>
              <w:fldChar w:fldCharType="separate"/>
            </w:r>
            <w:r>
              <w:rPr>
                <w:webHidden/>
              </w:rPr>
              <w:t>5</w:t>
            </w:r>
            <w:r w:rsidR="005D6539">
              <w:rPr>
                <w:webHidden/>
              </w:rPr>
              <w:fldChar w:fldCharType="end"/>
            </w:r>
          </w:hyperlink>
        </w:p>
        <w:p w14:paraId="7686D832" w14:textId="3B5ED19F" w:rsidR="005D6539" w:rsidRDefault="00420E81">
          <w:pPr>
            <w:pStyle w:val="TM2"/>
            <w:rPr>
              <w:rFonts w:asciiTheme="minorHAnsi" w:eastAsiaTheme="minorEastAsia" w:hAnsiTheme="minorHAnsi" w:cstheme="minorBidi"/>
              <w:sz w:val="22"/>
              <w:szCs w:val="22"/>
              <w:lang w:eastAsia="fr-FR"/>
            </w:rPr>
          </w:pPr>
          <w:hyperlink w:anchor="_Toc128064100" w:history="1">
            <w:r w:rsidR="005D6539" w:rsidRPr="001D4FD0">
              <w:rPr>
                <w:rStyle w:val="Lienhypertexte"/>
              </w:rPr>
              <w:t>HF 1</w:t>
            </w:r>
            <w:r w:rsidR="005D6539">
              <w:rPr>
                <w:webHidden/>
              </w:rPr>
              <w:tab/>
            </w:r>
            <w:r w:rsidR="005D6539">
              <w:rPr>
                <w:webHidden/>
              </w:rPr>
              <w:fldChar w:fldCharType="begin"/>
            </w:r>
            <w:r w:rsidR="005D6539">
              <w:rPr>
                <w:webHidden/>
              </w:rPr>
              <w:instrText xml:space="preserve"> PAGEREF _Toc128064100 \h </w:instrText>
            </w:r>
            <w:r w:rsidR="005D6539">
              <w:rPr>
                <w:webHidden/>
              </w:rPr>
            </w:r>
            <w:r w:rsidR="005D6539">
              <w:rPr>
                <w:webHidden/>
              </w:rPr>
              <w:fldChar w:fldCharType="separate"/>
            </w:r>
            <w:r>
              <w:rPr>
                <w:webHidden/>
              </w:rPr>
              <w:t>5</w:t>
            </w:r>
            <w:r w:rsidR="005D6539">
              <w:rPr>
                <w:webHidden/>
              </w:rPr>
              <w:fldChar w:fldCharType="end"/>
            </w:r>
          </w:hyperlink>
        </w:p>
        <w:p w14:paraId="2E20FA90" w14:textId="77D8011D" w:rsidR="005D6539" w:rsidRDefault="00420E81">
          <w:pPr>
            <w:pStyle w:val="TM1"/>
            <w:rPr>
              <w:rFonts w:asciiTheme="minorHAnsi" w:eastAsiaTheme="minorEastAsia" w:hAnsiTheme="minorHAnsi" w:cstheme="minorBidi"/>
              <w:caps w:val="0"/>
              <w:noProof/>
              <w:color w:val="auto"/>
              <w:sz w:val="22"/>
              <w:szCs w:val="22"/>
              <w:lang w:eastAsia="fr-FR"/>
            </w:rPr>
          </w:pPr>
          <w:hyperlink w:anchor="_Toc128064101" w:history="1">
            <w:r w:rsidR="005D6539" w:rsidRPr="001D4FD0">
              <w:rPr>
                <w:rStyle w:val="Lienhypertexte"/>
                <w:noProof/>
              </w:rPr>
              <w:t>Approche générale</w:t>
            </w:r>
            <w:r w:rsidR="005D6539">
              <w:rPr>
                <w:noProof/>
                <w:webHidden/>
              </w:rPr>
              <w:tab/>
            </w:r>
            <w:r w:rsidR="005D6539">
              <w:rPr>
                <w:noProof/>
                <w:webHidden/>
              </w:rPr>
              <w:fldChar w:fldCharType="begin"/>
            </w:r>
            <w:r w:rsidR="005D6539">
              <w:rPr>
                <w:noProof/>
                <w:webHidden/>
              </w:rPr>
              <w:instrText xml:space="preserve"> PAGEREF _Toc128064101 \h </w:instrText>
            </w:r>
            <w:r w:rsidR="005D6539">
              <w:rPr>
                <w:noProof/>
                <w:webHidden/>
              </w:rPr>
            </w:r>
            <w:r w:rsidR="005D6539">
              <w:rPr>
                <w:noProof/>
                <w:webHidden/>
              </w:rPr>
              <w:fldChar w:fldCharType="separate"/>
            </w:r>
            <w:r>
              <w:rPr>
                <w:noProof/>
                <w:webHidden/>
              </w:rPr>
              <w:t>7</w:t>
            </w:r>
            <w:r w:rsidR="005D6539">
              <w:rPr>
                <w:noProof/>
                <w:webHidden/>
              </w:rPr>
              <w:fldChar w:fldCharType="end"/>
            </w:r>
          </w:hyperlink>
        </w:p>
        <w:p w14:paraId="42393EA7" w14:textId="4FD113F7" w:rsidR="005D6539" w:rsidRDefault="00420E81">
          <w:pPr>
            <w:pStyle w:val="TM2"/>
            <w:rPr>
              <w:rFonts w:asciiTheme="minorHAnsi" w:eastAsiaTheme="minorEastAsia" w:hAnsiTheme="minorHAnsi" w:cstheme="minorBidi"/>
              <w:sz w:val="22"/>
              <w:szCs w:val="22"/>
              <w:lang w:eastAsia="fr-FR"/>
            </w:rPr>
          </w:pPr>
          <w:hyperlink w:anchor="_Toc128064102" w:history="1">
            <w:r w:rsidR="005D6539" w:rsidRPr="001D4FD0">
              <w:rPr>
                <w:rStyle w:val="Lienhypertexte"/>
              </w:rPr>
              <w:t>Analyse de matérialité [HF 2]</w:t>
            </w:r>
            <w:r w:rsidR="005D6539">
              <w:rPr>
                <w:webHidden/>
              </w:rPr>
              <w:tab/>
            </w:r>
            <w:r w:rsidR="005D6539">
              <w:rPr>
                <w:webHidden/>
              </w:rPr>
              <w:fldChar w:fldCharType="begin"/>
            </w:r>
            <w:r w:rsidR="005D6539">
              <w:rPr>
                <w:webHidden/>
              </w:rPr>
              <w:instrText xml:space="preserve"> PAGEREF _Toc128064102 \h </w:instrText>
            </w:r>
            <w:r w:rsidR="005D6539">
              <w:rPr>
                <w:webHidden/>
              </w:rPr>
            </w:r>
            <w:r w:rsidR="005D6539">
              <w:rPr>
                <w:webHidden/>
              </w:rPr>
              <w:fldChar w:fldCharType="separate"/>
            </w:r>
            <w:r>
              <w:rPr>
                <w:webHidden/>
              </w:rPr>
              <w:t>7</w:t>
            </w:r>
            <w:r w:rsidR="005D6539">
              <w:rPr>
                <w:webHidden/>
              </w:rPr>
              <w:fldChar w:fldCharType="end"/>
            </w:r>
          </w:hyperlink>
        </w:p>
        <w:p w14:paraId="29256C6E" w14:textId="15541130" w:rsidR="005D6539" w:rsidRDefault="00420E81">
          <w:pPr>
            <w:pStyle w:val="TM2"/>
            <w:rPr>
              <w:rFonts w:asciiTheme="minorHAnsi" w:eastAsiaTheme="minorEastAsia" w:hAnsiTheme="minorHAnsi" w:cstheme="minorBidi"/>
              <w:sz w:val="22"/>
              <w:szCs w:val="22"/>
              <w:lang w:eastAsia="fr-FR"/>
            </w:rPr>
          </w:pPr>
          <w:hyperlink w:anchor="_Toc128064103" w:history="1">
            <w:r w:rsidR="005D6539" w:rsidRPr="001D4FD0">
              <w:rPr>
                <w:rStyle w:val="Lienhypertexte"/>
              </w:rPr>
              <w:t>HF 2</w:t>
            </w:r>
            <w:r w:rsidR="005D6539">
              <w:rPr>
                <w:webHidden/>
              </w:rPr>
              <w:tab/>
            </w:r>
            <w:r w:rsidR="005D6539">
              <w:rPr>
                <w:webHidden/>
              </w:rPr>
              <w:fldChar w:fldCharType="begin"/>
            </w:r>
            <w:r w:rsidR="005D6539">
              <w:rPr>
                <w:webHidden/>
              </w:rPr>
              <w:instrText xml:space="preserve"> PAGEREF _Toc128064103 \h </w:instrText>
            </w:r>
            <w:r w:rsidR="005D6539">
              <w:rPr>
                <w:webHidden/>
              </w:rPr>
            </w:r>
            <w:r w:rsidR="005D6539">
              <w:rPr>
                <w:webHidden/>
              </w:rPr>
              <w:fldChar w:fldCharType="separate"/>
            </w:r>
            <w:r>
              <w:rPr>
                <w:webHidden/>
              </w:rPr>
              <w:t>7</w:t>
            </w:r>
            <w:r w:rsidR="005D6539">
              <w:rPr>
                <w:webHidden/>
              </w:rPr>
              <w:fldChar w:fldCharType="end"/>
            </w:r>
          </w:hyperlink>
        </w:p>
        <w:p w14:paraId="1BBD70AF" w14:textId="67C6C207" w:rsidR="005D6539" w:rsidRDefault="00420E81">
          <w:pPr>
            <w:pStyle w:val="TM2"/>
            <w:rPr>
              <w:rFonts w:asciiTheme="minorHAnsi" w:eastAsiaTheme="minorEastAsia" w:hAnsiTheme="minorHAnsi" w:cstheme="minorBidi"/>
              <w:sz w:val="22"/>
              <w:szCs w:val="22"/>
              <w:lang w:eastAsia="fr-FR"/>
            </w:rPr>
          </w:pPr>
          <w:hyperlink w:anchor="_Toc128064104" w:history="1">
            <w:r w:rsidR="005D6539" w:rsidRPr="001D4FD0">
              <w:rPr>
                <w:rStyle w:val="Lienhypertexte"/>
              </w:rPr>
              <w:t>Suivi des tendances ESG [HF 3]</w:t>
            </w:r>
            <w:r w:rsidR="005D6539">
              <w:rPr>
                <w:webHidden/>
              </w:rPr>
              <w:tab/>
            </w:r>
            <w:r w:rsidR="005D6539">
              <w:rPr>
                <w:webHidden/>
              </w:rPr>
              <w:fldChar w:fldCharType="begin"/>
            </w:r>
            <w:r w:rsidR="005D6539">
              <w:rPr>
                <w:webHidden/>
              </w:rPr>
              <w:instrText xml:space="preserve"> PAGEREF _Toc128064104 \h </w:instrText>
            </w:r>
            <w:r w:rsidR="005D6539">
              <w:rPr>
                <w:webHidden/>
              </w:rPr>
            </w:r>
            <w:r w:rsidR="005D6539">
              <w:rPr>
                <w:webHidden/>
              </w:rPr>
              <w:fldChar w:fldCharType="separate"/>
            </w:r>
            <w:r>
              <w:rPr>
                <w:webHidden/>
              </w:rPr>
              <w:t>11</w:t>
            </w:r>
            <w:r w:rsidR="005D6539">
              <w:rPr>
                <w:webHidden/>
              </w:rPr>
              <w:fldChar w:fldCharType="end"/>
            </w:r>
          </w:hyperlink>
        </w:p>
        <w:p w14:paraId="4D98B04E" w14:textId="75F8FCBE" w:rsidR="005D6539" w:rsidRDefault="00420E81">
          <w:pPr>
            <w:pStyle w:val="TM2"/>
            <w:rPr>
              <w:rFonts w:asciiTheme="minorHAnsi" w:eastAsiaTheme="minorEastAsia" w:hAnsiTheme="minorHAnsi" w:cstheme="minorBidi"/>
              <w:sz w:val="22"/>
              <w:szCs w:val="22"/>
              <w:lang w:eastAsia="fr-FR"/>
            </w:rPr>
          </w:pPr>
          <w:hyperlink w:anchor="_Toc128064105" w:history="1">
            <w:r w:rsidR="005D6539" w:rsidRPr="001D4FD0">
              <w:rPr>
                <w:rStyle w:val="Lienhypertexte"/>
              </w:rPr>
              <w:t>HF 3</w:t>
            </w:r>
            <w:r w:rsidR="005D6539">
              <w:rPr>
                <w:webHidden/>
              </w:rPr>
              <w:tab/>
            </w:r>
            <w:r w:rsidR="005D6539">
              <w:rPr>
                <w:webHidden/>
              </w:rPr>
              <w:fldChar w:fldCharType="begin"/>
            </w:r>
            <w:r w:rsidR="005D6539">
              <w:rPr>
                <w:webHidden/>
              </w:rPr>
              <w:instrText xml:space="preserve"> PAGEREF _Toc128064105 \h </w:instrText>
            </w:r>
            <w:r w:rsidR="005D6539">
              <w:rPr>
                <w:webHidden/>
              </w:rPr>
            </w:r>
            <w:r w:rsidR="005D6539">
              <w:rPr>
                <w:webHidden/>
              </w:rPr>
              <w:fldChar w:fldCharType="separate"/>
            </w:r>
            <w:r>
              <w:rPr>
                <w:webHidden/>
              </w:rPr>
              <w:t>11</w:t>
            </w:r>
            <w:r w:rsidR="005D6539">
              <w:rPr>
                <w:webHidden/>
              </w:rPr>
              <w:fldChar w:fldCharType="end"/>
            </w:r>
          </w:hyperlink>
        </w:p>
        <w:p w14:paraId="75B08C28" w14:textId="18F6A49D" w:rsidR="005D6539" w:rsidRDefault="00420E81">
          <w:pPr>
            <w:pStyle w:val="TM1"/>
            <w:rPr>
              <w:rFonts w:asciiTheme="minorHAnsi" w:eastAsiaTheme="minorEastAsia" w:hAnsiTheme="minorHAnsi" w:cstheme="minorBidi"/>
              <w:caps w:val="0"/>
              <w:noProof/>
              <w:color w:val="auto"/>
              <w:sz w:val="22"/>
              <w:szCs w:val="22"/>
              <w:lang w:eastAsia="fr-FR"/>
            </w:rPr>
          </w:pPr>
          <w:hyperlink w:anchor="_Toc128064106" w:history="1">
            <w:r w:rsidR="005D6539" w:rsidRPr="001D4FD0">
              <w:rPr>
                <w:rStyle w:val="Lienhypertexte"/>
                <w:noProof/>
              </w:rPr>
              <w:t>pré-investissement</w:t>
            </w:r>
            <w:r w:rsidR="005D6539">
              <w:rPr>
                <w:noProof/>
                <w:webHidden/>
              </w:rPr>
              <w:tab/>
            </w:r>
            <w:r w:rsidR="005D6539">
              <w:rPr>
                <w:noProof/>
                <w:webHidden/>
              </w:rPr>
              <w:fldChar w:fldCharType="begin"/>
            </w:r>
            <w:r w:rsidR="005D6539">
              <w:rPr>
                <w:noProof/>
                <w:webHidden/>
              </w:rPr>
              <w:instrText xml:space="preserve"> PAGEREF _Toc128064106 \h </w:instrText>
            </w:r>
            <w:r w:rsidR="005D6539">
              <w:rPr>
                <w:noProof/>
                <w:webHidden/>
              </w:rPr>
            </w:r>
            <w:r w:rsidR="005D6539">
              <w:rPr>
                <w:noProof/>
                <w:webHidden/>
              </w:rPr>
              <w:fldChar w:fldCharType="separate"/>
            </w:r>
            <w:r>
              <w:rPr>
                <w:noProof/>
                <w:webHidden/>
              </w:rPr>
              <w:t>15</w:t>
            </w:r>
            <w:r w:rsidR="005D6539">
              <w:rPr>
                <w:noProof/>
                <w:webHidden/>
              </w:rPr>
              <w:fldChar w:fldCharType="end"/>
            </w:r>
          </w:hyperlink>
        </w:p>
        <w:p w14:paraId="10FDC2FC" w14:textId="670D2D53" w:rsidR="005D6539" w:rsidRDefault="00420E81">
          <w:pPr>
            <w:pStyle w:val="TM2"/>
            <w:rPr>
              <w:rFonts w:asciiTheme="minorHAnsi" w:eastAsiaTheme="minorEastAsia" w:hAnsiTheme="minorHAnsi" w:cstheme="minorBidi"/>
              <w:sz w:val="22"/>
              <w:szCs w:val="22"/>
              <w:lang w:eastAsia="fr-FR"/>
            </w:rPr>
          </w:pPr>
          <w:hyperlink w:anchor="_Toc128064107" w:history="1">
            <w:r w:rsidR="005D6539" w:rsidRPr="001D4FD0">
              <w:rPr>
                <w:rStyle w:val="Lienhypertexte"/>
              </w:rPr>
              <w:t>Prise en compte des critères ESG dans la recherche [HF 4, HF 5]</w:t>
            </w:r>
            <w:r w:rsidR="005D6539">
              <w:rPr>
                <w:webHidden/>
              </w:rPr>
              <w:tab/>
            </w:r>
            <w:r w:rsidR="005D6539">
              <w:rPr>
                <w:webHidden/>
              </w:rPr>
              <w:fldChar w:fldCharType="begin"/>
            </w:r>
            <w:r w:rsidR="005D6539">
              <w:rPr>
                <w:webHidden/>
              </w:rPr>
              <w:instrText xml:space="preserve"> PAGEREF _Toc128064107 \h </w:instrText>
            </w:r>
            <w:r w:rsidR="005D6539">
              <w:rPr>
                <w:webHidden/>
              </w:rPr>
            </w:r>
            <w:r w:rsidR="005D6539">
              <w:rPr>
                <w:webHidden/>
              </w:rPr>
              <w:fldChar w:fldCharType="separate"/>
            </w:r>
            <w:r>
              <w:rPr>
                <w:webHidden/>
              </w:rPr>
              <w:t>15</w:t>
            </w:r>
            <w:r w:rsidR="005D6539">
              <w:rPr>
                <w:webHidden/>
              </w:rPr>
              <w:fldChar w:fldCharType="end"/>
            </w:r>
          </w:hyperlink>
        </w:p>
        <w:p w14:paraId="722DF91D" w14:textId="6F4D47F4" w:rsidR="005D6539" w:rsidRDefault="00420E81">
          <w:pPr>
            <w:pStyle w:val="TM2"/>
            <w:rPr>
              <w:rFonts w:asciiTheme="minorHAnsi" w:eastAsiaTheme="minorEastAsia" w:hAnsiTheme="minorHAnsi" w:cstheme="minorBidi"/>
              <w:sz w:val="22"/>
              <w:szCs w:val="22"/>
              <w:lang w:eastAsia="fr-FR"/>
            </w:rPr>
          </w:pPr>
          <w:hyperlink w:anchor="_Toc128064108" w:history="1">
            <w:r w:rsidR="005D6539" w:rsidRPr="001D4FD0">
              <w:rPr>
                <w:rStyle w:val="Lienhypertexte"/>
              </w:rPr>
              <w:t>HF 4</w:t>
            </w:r>
            <w:r w:rsidR="005D6539">
              <w:rPr>
                <w:webHidden/>
              </w:rPr>
              <w:tab/>
            </w:r>
            <w:r w:rsidR="005D6539">
              <w:rPr>
                <w:webHidden/>
              </w:rPr>
              <w:fldChar w:fldCharType="begin"/>
            </w:r>
            <w:r w:rsidR="005D6539">
              <w:rPr>
                <w:webHidden/>
              </w:rPr>
              <w:instrText xml:space="preserve"> PAGEREF _Toc128064108 \h </w:instrText>
            </w:r>
            <w:r w:rsidR="005D6539">
              <w:rPr>
                <w:webHidden/>
              </w:rPr>
            </w:r>
            <w:r w:rsidR="005D6539">
              <w:rPr>
                <w:webHidden/>
              </w:rPr>
              <w:fldChar w:fldCharType="separate"/>
            </w:r>
            <w:r>
              <w:rPr>
                <w:webHidden/>
              </w:rPr>
              <w:t>15</w:t>
            </w:r>
            <w:r w:rsidR="005D6539">
              <w:rPr>
                <w:webHidden/>
              </w:rPr>
              <w:fldChar w:fldCharType="end"/>
            </w:r>
          </w:hyperlink>
        </w:p>
        <w:p w14:paraId="68BAB6E2" w14:textId="4086CC26" w:rsidR="005D6539" w:rsidRDefault="00420E81">
          <w:pPr>
            <w:pStyle w:val="TM2"/>
            <w:rPr>
              <w:rFonts w:asciiTheme="minorHAnsi" w:eastAsiaTheme="minorEastAsia" w:hAnsiTheme="minorHAnsi" w:cstheme="minorBidi"/>
              <w:sz w:val="22"/>
              <w:szCs w:val="22"/>
              <w:lang w:eastAsia="fr-FR"/>
            </w:rPr>
          </w:pPr>
          <w:hyperlink w:anchor="_Toc128064109" w:history="1">
            <w:r w:rsidR="005D6539" w:rsidRPr="001D4FD0">
              <w:rPr>
                <w:rStyle w:val="Lienhypertexte"/>
              </w:rPr>
              <w:t>HF 5</w:t>
            </w:r>
            <w:r w:rsidR="005D6539">
              <w:rPr>
                <w:webHidden/>
              </w:rPr>
              <w:tab/>
            </w:r>
            <w:r w:rsidR="005D6539">
              <w:rPr>
                <w:webHidden/>
              </w:rPr>
              <w:fldChar w:fldCharType="begin"/>
            </w:r>
            <w:r w:rsidR="005D6539">
              <w:rPr>
                <w:webHidden/>
              </w:rPr>
              <w:instrText xml:space="preserve"> PAGEREF _Toc128064109 \h </w:instrText>
            </w:r>
            <w:r w:rsidR="005D6539">
              <w:rPr>
                <w:webHidden/>
              </w:rPr>
            </w:r>
            <w:r w:rsidR="005D6539">
              <w:rPr>
                <w:webHidden/>
              </w:rPr>
              <w:fldChar w:fldCharType="separate"/>
            </w:r>
            <w:r>
              <w:rPr>
                <w:webHidden/>
              </w:rPr>
              <w:t>19</w:t>
            </w:r>
            <w:r w:rsidR="005D6539">
              <w:rPr>
                <w:webHidden/>
              </w:rPr>
              <w:fldChar w:fldCharType="end"/>
            </w:r>
          </w:hyperlink>
        </w:p>
        <w:p w14:paraId="5E06E4ED" w14:textId="1374F370" w:rsidR="005D6539" w:rsidRDefault="00420E81">
          <w:pPr>
            <w:pStyle w:val="TM2"/>
            <w:rPr>
              <w:rFonts w:asciiTheme="minorHAnsi" w:eastAsiaTheme="minorEastAsia" w:hAnsiTheme="minorHAnsi" w:cstheme="minorBidi"/>
              <w:sz w:val="22"/>
              <w:szCs w:val="22"/>
              <w:lang w:eastAsia="fr-FR"/>
            </w:rPr>
          </w:pPr>
          <w:hyperlink w:anchor="_Toc128064110" w:history="1">
            <w:r w:rsidR="005D6539" w:rsidRPr="001D4FD0">
              <w:rPr>
                <w:rStyle w:val="Lienhypertexte"/>
              </w:rPr>
              <w:t>Prise en compte des critères ESG dans la construction de portefeuille [HF 6]</w:t>
            </w:r>
            <w:r w:rsidR="005D6539">
              <w:rPr>
                <w:webHidden/>
              </w:rPr>
              <w:tab/>
            </w:r>
            <w:r w:rsidR="005D6539">
              <w:rPr>
                <w:webHidden/>
              </w:rPr>
              <w:fldChar w:fldCharType="begin"/>
            </w:r>
            <w:r w:rsidR="005D6539">
              <w:rPr>
                <w:webHidden/>
              </w:rPr>
              <w:instrText xml:space="preserve"> PAGEREF _Toc128064110 \h </w:instrText>
            </w:r>
            <w:r w:rsidR="005D6539">
              <w:rPr>
                <w:webHidden/>
              </w:rPr>
            </w:r>
            <w:r w:rsidR="005D6539">
              <w:rPr>
                <w:webHidden/>
              </w:rPr>
              <w:fldChar w:fldCharType="separate"/>
            </w:r>
            <w:r>
              <w:rPr>
                <w:webHidden/>
              </w:rPr>
              <w:t>20</w:t>
            </w:r>
            <w:r w:rsidR="005D6539">
              <w:rPr>
                <w:webHidden/>
              </w:rPr>
              <w:fldChar w:fldCharType="end"/>
            </w:r>
          </w:hyperlink>
        </w:p>
        <w:p w14:paraId="4989365B" w14:textId="43C94D22" w:rsidR="005D6539" w:rsidRDefault="00420E81">
          <w:pPr>
            <w:pStyle w:val="TM2"/>
            <w:rPr>
              <w:rFonts w:asciiTheme="minorHAnsi" w:eastAsiaTheme="minorEastAsia" w:hAnsiTheme="minorHAnsi" w:cstheme="minorBidi"/>
              <w:sz w:val="22"/>
              <w:szCs w:val="22"/>
              <w:lang w:eastAsia="fr-FR"/>
            </w:rPr>
          </w:pPr>
          <w:hyperlink w:anchor="_Toc128064111" w:history="1">
            <w:r w:rsidR="005D6539" w:rsidRPr="001D4FD0">
              <w:rPr>
                <w:rStyle w:val="Lienhypertexte"/>
              </w:rPr>
              <w:t>HF 6</w:t>
            </w:r>
            <w:r w:rsidR="005D6539">
              <w:rPr>
                <w:webHidden/>
              </w:rPr>
              <w:tab/>
            </w:r>
            <w:r w:rsidR="005D6539">
              <w:rPr>
                <w:webHidden/>
              </w:rPr>
              <w:fldChar w:fldCharType="begin"/>
            </w:r>
            <w:r w:rsidR="005D6539">
              <w:rPr>
                <w:webHidden/>
              </w:rPr>
              <w:instrText xml:space="preserve"> PAGEREF _Toc128064111 \h </w:instrText>
            </w:r>
            <w:r w:rsidR="005D6539">
              <w:rPr>
                <w:webHidden/>
              </w:rPr>
            </w:r>
            <w:r w:rsidR="005D6539">
              <w:rPr>
                <w:webHidden/>
              </w:rPr>
              <w:fldChar w:fldCharType="separate"/>
            </w:r>
            <w:r>
              <w:rPr>
                <w:webHidden/>
              </w:rPr>
              <w:t>20</w:t>
            </w:r>
            <w:r w:rsidR="005D6539">
              <w:rPr>
                <w:webHidden/>
              </w:rPr>
              <w:fldChar w:fldCharType="end"/>
            </w:r>
          </w:hyperlink>
        </w:p>
        <w:p w14:paraId="2FF72E3B" w14:textId="630CD840" w:rsidR="005D6539" w:rsidRDefault="00420E81">
          <w:pPr>
            <w:pStyle w:val="TM2"/>
            <w:rPr>
              <w:rFonts w:asciiTheme="minorHAnsi" w:eastAsiaTheme="minorEastAsia" w:hAnsiTheme="minorHAnsi" w:cstheme="minorBidi"/>
              <w:sz w:val="22"/>
              <w:szCs w:val="22"/>
              <w:lang w:eastAsia="fr-FR"/>
            </w:rPr>
          </w:pPr>
          <w:hyperlink w:anchor="_Toc128064112" w:history="1">
            <w:r w:rsidR="005D6539" w:rsidRPr="001D4FD0">
              <w:rPr>
                <w:rStyle w:val="Lienhypertexte"/>
              </w:rPr>
              <w:t>HF 7</w:t>
            </w:r>
            <w:r w:rsidR="005D6539">
              <w:rPr>
                <w:webHidden/>
              </w:rPr>
              <w:tab/>
            </w:r>
            <w:r w:rsidR="005D6539">
              <w:rPr>
                <w:webHidden/>
              </w:rPr>
              <w:fldChar w:fldCharType="begin"/>
            </w:r>
            <w:r w:rsidR="005D6539">
              <w:rPr>
                <w:webHidden/>
              </w:rPr>
              <w:instrText xml:space="preserve"> PAGEREF _Toc128064112 \h </w:instrText>
            </w:r>
            <w:r w:rsidR="005D6539">
              <w:rPr>
                <w:webHidden/>
              </w:rPr>
            </w:r>
            <w:r w:rsidR="005D6539">
              <w:rPr>
                <w:webHidden/>
              </w:rPr>
              <w:fldChar w:fldCharType="separate"/>
            </w:r>
            <w:r>
              <w:rPr>
                <w:webHidden/>
              </w:rPr>
              <w:t>24</w:t>
            </w:r>
            <w:r w:rsidR="005D6539">
              <w:rPr>
                <w:webHidden/>
              </w:rPr>
              <w:fldChar w:fldCharType="end"/>
            </w:r>
          </w:hyperlink>
        </w:p>
        <w:p w14:paraId="38B559DC" w14:textId="3014E2D2" w:rsidR="005D6539" w:rsidRDefault="00420E81">
          <w:pPr>
            <w:pStyle w:val="TM1"/>
            <w:rPr>
              <w:rFonts w:asciiTheme="minorHAnsi" w:eastAsiaTheme="minorEastAsia" w:hAnsiTheme="minorHAnsi" w:cstheme="minorBidi"/>
              <w:caps w:val="0"/>
              <w:noProof/>
              <w:color w:val="auto"/>
              <w:sz w:val="22"/>
              <w:szCs w:val="22"/>
              <w:lang w:eastAsia="fr-FR"/>
            </w:rPr>
          </w:pPr>
          <w:hyperlink w:anchor="_Toc128064113" w:history="1">
            <w:r w:rsidR="005D6539" w:rsidRPr="001D4FD0">
              <w:rPr>
                <w:rStyle w:val="Lienhypertexte"/>
                <w:noProof/>
              </w:rPr>
              <w:t>post-investissement</w:t>
            </w:r>
            <w:r w:rsidR="005D6539">
              <w:rPr>
                <w:noProof/>
                <w:webHidden/>
              </w:rPr>
              <w:tab/>
            </w:r>
            <w:r w:rsidR="005D6539">
              <w:rPr>
                <w:noProof/>
                <w:webHidden/>
              </w:rPr>
              <w:fldChar w:fldCharType="begin"/>
            </w:r>
            <w:r w:rsidR="005D6539">
              <w:rPr>
                <w:noProof/>
                <w:webHidden/>
              </w:rPr>
              <w:instrText xml:space="preserve"> PAGEREF _Toc128064113 \h </w:instrText>
            </w:r>
            <w:r w:rsidR="005D6539">
              <w:rPr>
                <w:noProof/>
                <w:webHidden/>
              </w:rPr>
            </w:r>
            <w:r w:rsidR="005D6539">
              <w:rPr>
                <w:noProof/>
                <w:webHidden/>
              </w:rPr>
              <w:fldChar w:fldCharType="separate"/>
            </w:r>
            <w:r>
              <w:rPr>
                <w:noProof/>
                <w:webHidden/>
              </w:rPr>
              <w:t>26</w:t>
            </w:r>
            <w:r w:rsidR="005D6539">
              <w:rPr>
                <w:noProof/>
                <w:webHidden/>
              </w:rPr>
              <w:fldChar w:fldCharType="end"/>
            </w:r>
          </w:hyperlink>
        </w:p>
        <w:p w14:paraId="20453141" w14:textId="56A58A86" w:rsidR="005D6539" w:rsidRDefault="00420E81">
          <w:pPr>
            <w:pStyle w:val="TM2"/>
            <w:rPr>
              <w:rFonts w:asciiTheme="minorHAnsi" w:eastAsiaTheme="minorEastAsia" w:hAnsiTheme="minorHAnsi" w:cstheme="minorBidi"/>
              <w:sz w:val="22"/>
              <w:szCs w:val="22"/>
              <w:lang w:eastAsia="fr-FR"/>
            </w:rPr>
          </w:pPr>
          <w:hyperlink w:anchor="_Toc128064114" w:history="1">
            <w:r w:rsidR="005D6539" w:rsidRPr="001D4FD0">
              <w:rPr>
                <w:rStyle w:val="Lienhypertexte"/>
              </w:rPr>
              <w:t>Gestion des risques ESG [HF 8, HF 9]</w:t>
            </w:r>
            <w:r w:rsidR="005D6539">
              <w:rPr>
                <w:webHidden/>
              </w:rPr>
              <w:tab/>
            </w:r>
            <w:r w:rsidR="005D6539">
              <w:rPr>
                <w:webHidden/>
              </w:rPr>
              <w:fldChar w:fldCharType="begin"/>
            </w:r>
            <w:r w:rsidR="005D6539">
              <w:rPr>
                <w:webHidden/>
              </w:rPr>
              <w:instrText xml:space="preserve"> PAGEREF _Toc128064114 \h </w:instrText>
            </w:r>
            <w:r w:rsidR="005D6539">
              <w:rPr>
                <w:webHidden/>
              </w:rPr>
            </w:r>
            <w:r w:rsidR="005D6539">
              <w:rPr>
                <w:webHidden/>
              </w:rPr>
              <w:fldChar w:fldCharType="separate"/>
            </w:r>
            <w:r>
              <w:rPr>
                <w:webHidden/>
              </w:rPr>
              <w:t>26</w:t>
            </w:r>
            <w:r w:rsidR="005D6539">
              <w:rPr>
                <w:webHidden/>
              </w:rPr>
              <w:fldChar w:fldCharType="end"/>
            </w:r>
          </w:hyperlink>
        </w:p>
        <w:p w14:paraId="197F4669" w14:textId="0E57CF37" w:rsidR="005D6539" w:rsidRDefault="00420E81">
          <w:pPr>
            <w:pStyle w:val="TM2"/>
            <w:rPr>
              <w:rFonts w:asciiTheme="minorHAnsi" w:eastAsiaTheme="minorEastAsia" w:hAnsiTheme="minorHAnsi" w:cstheme="minorBidi"/>
              <w:sz w:val="22"/>
              <w:szCs w:val="22"/>
              <w:lang w:eastAsia="fr-FR"/>
            </w:rPr>
          </w:pPr>
          <w:hyperlink w:anchor="_Toc128064115" w:history="1">
            <w:r w:rsidR="005D6539" w:rsidRPr="001D4FD0">
              <w:rPr>
                <w:rStyle w:val="Lienhypertexte"/>
              </w:rPr>
              <w:t>HF 8</w:t>
            </w:r>
            <w:r w:rsidR="005D6539">
              <w:rPr>
                <w:webHidden/>
              </w:rPr>
              <w:tab/>
            </w:r>
            <w:r w:rsidR="005D6539">
              <w:rPr>
                <w:webHidden/>
              </w:rPr>
              <w:fldChar w:fldCharType="begin"/>
            </w:r>
            <w:r w:rsidR="005D6539">
              <w:rPr>
                <w:webHidden/>
              </w:rPr>
              <w:instrText xml:space="preserve"> PAGEREF _Toc128064115 \h </w:instrText>
            </w:r>
            <w:r w:rsidR="005D6539">
              <w:rPr>
                <w:webHidden/>
              </w:rPr>
            </w:r>
            <w:r w:rsidR="005D6539">
              <w:rPr>
                <w:webHidden/>
              </w:rPr>
              <w:fldChar w:fldCharType="separate"/>
            </w:r>
            <w:r>
              <w:rPr>
                <w:webHidden/>
              </w:rPr>
              <w:t>26</w:t>
            </w:r>
            <w:r w:rsidR="005D6539">
              <w:rPr>
                <w:webHidden/>
              </w:rPr>
              <w:fldChar w:fldCharType="end"/>
            </w:r>
          </w:hyperlink>
        </w:p>
        <w:p w14:paraId="42BCDBAC" w14:textId="173E576B" w:rsidR="005D6539" w:rsidRDefault="00420E81">
          <w:pPr>
            <w:pStyle w:val="TM2"/>
            <w:rPr>
              <w:rFonts w:asciiTheme="minorHAnsi" w:eastAsiaTheme="minorEastAsia" w:hAnsiTheme="minorHAnsi" w:cstheme="minorBidi"/>
              <w:sz w:val="22"/>
              <w:szCs w:val="22"/>
              <w:lang w:eastAsia="fr-FR"/>
            </w:rPr>
          </w:pPr>
          <w:hyperlink w:anchor="_Toc128064116" w:history="1">
            <w:r w:rsidR="005D6539" w:rsidRPr="001D4FD0">
              <w:rPr>
                <w:rStyle w:val="Lienhypertexte"/>
              </w:rPr>
              <w:t>HF 9</w:t>
            </w:r>
            <w:r w:rsidR="005D6539">
              <w:rPr>
                <w:webHidden/>
              </w:rPr>
              <w:tab/>
            </w:r>
            <w:r w:rsidR="005D6539">
              <w:rPr>
                <w:webHidden/>
              </w:rPr>
              <w:fldChar w:fldCharType="begin"/>
            </w:r>
            <w:r w:rsidR="005D6539">
              <w:rPr>
                <w:webHidden/>
              </w:rPr>
              <w:instrText xml:space="preserve"> PAGEREF _Toc128064116 \h </w:instrText>
            </w:r>
            <w:r w:rsidR="005D6539">
              <w:rPr>
                <w:webHidden/>
              </w:rPr>
            </w:r>
            <w:r w:rsidR="005D6539">
              <w:rPr>
                <w:webHidden/>
              </w:rPr>
              <w:fldChar w:fldCharType="separate"/>
            </w:r>
            <w:r>
              <w:rPr>
                <w:webHidden/>
              </w:rPr>
              <w:t>28</w:t>
            </w:r>
            <w:r w:rsidR="005D6539">
              <w:rPr>
                <w:webHidden/>
              </w:rPr>
              <w:fldChar w:fldCharType="end"/>
            </w:r>
          </w:hyperlink>
        </w:p>
        <w:p w14:paraId="533A4E3A" w14:textId="624431CB" w:rsidR="001A558E" w:rsidRPr="003058F5" w:rsidRDefault="00961A29" w:rsidP="00961A29">
          <w:pPr>
            <w:pStyle w:val="TM1"/>
          </w:pPr>
          <w:r>
            <w:fldChar w:fldCharType="end"/>
          </w:r>
        </w:p>
      </w:sdtContent>
    </w:sdt>
    <w:p w14:paraId="1664E2AA" w14:textId="2CE0A38E" w:rsidR="001211F5" w:rsidRPr="003058F5" w:rsidRDefault="001211F5">
      <w:pPr>
        <w:spacing w:after="160" w:line="259" w:lineRule="auto"/>
      </w:pPr>
      <w:r>
        <w:br w:type="page"/>
      </w:r>
    </w:p>
    <w:p w14:paraId="40EF3F19" w14:textId="2B828266" w:rsidR="000F3CF4" w:rsidRPr="003058F5" w:rsidRDefault="000F3CF4">
      <w:pPr>
        <w:spacing w:after="160" w:line="259" w:lineRule="auto"/>
      </w:pPr>
    </w:p>
    <w:p w14:paraId="08BEDA98" w14:textId="2D64C972" w:rsidR="00153CA3" w:rsidRDefault="00153CA3" w:rsidP="60A09709">
      <w:pPr>
        <w:spacing w:after="160" w:line="259" w:lineRule="auto"/>
      </w:pPr>
      <w:bookmarkStart w:id="5" w:name="_Toc55464044"/>
      <w:r>
        <w:br w:type="page"/>
      </w:r>
      <w:r w:rsidR="6C5D84FC" w:rsidRPr="60A09709">
        <w:rPr>
          <w:rFonts w:eastAsia="Arial" w:cs="Arial"/>
          <w:b/>
          <w:bCs/>
          <w:color w:val="000000" w:themeColor="text1"/>
        </w:rPr>
        <w:lastRenderedPageBreak/>
        <w:t>Note : Les détails concernant les coefficients multiplicateurs ("</w:t>
      </w:r>
      <w:proofErr w:type="spellStart"/>
      <w:r w:rsidR="6C5D84FC" w:rsidRPr="60A09709">
        <w:rPr>
          <w:rFonts w:eastAsia="Arial" w:cs="Arial"/>
          <w:b/>
          <w:bCs/>
          <w:color w:val="000000" w:themeColor="text1"/>
        </w:rPr>
        <w:t>multipliers</w:t>
      </w:r>
      <w:proofErr w:type="spellEnd"/>
      <w:r w:rsidR="6C5D84FC" w:rsidRPr="60A09709">
        <w:rPr>
          <w:rFonts w:eastAsia="Arial" w:cs="Arial"/>
          <w:b/>
          <w:bCs/>
          <w:color w:val="000000" w:themeColor="text1"/>
        </w:rPr>
        <w:t>") pour tous les indicateurs CORE et évalués sont consultables dans la version en anglais du Reporting Framework.</w:t>
      </w:r>
    </w:p>
    <w:p w14:paraId="26118015" w14:textId="3FD6BD02" w:rsidR="00671AF7" w:rsidRPr="003058F5" w:rsidRDefault="00F931AE" w:rsidP="00671AF7">
      <w:pPr>
        <w:pStyle w:val="Titre1"/>
      </w:pPr>
      <w:bookmarkStart w:id="6" w:name="_Toc128064098"/>
      <w:bookmarkEnd w:id="5"/>
      <w:r>
        <w:t>Politique</w:t>
      </w:r>
      <w:bookmarkEnd w:id="6"/>
    </w:p>
    <w:p w14:paraId="086B785A" w14:textId="15DBFE50" w:rsidR="00671AF7" w:rsidRPr="003058F5" w:rsidRDefault="00F931AE" w:rsidP="00671AF7">
      <w:pPr>
        <w:pStyle w:val="Titre2"/>
        <w:tabs>
          <w:tab w:val="left" w:pos="12758"/>
        </w:tabs>
        <w:rPr>
          <w:rFonts w:eastAsia="MS PGothic" w:cs="Times New Roman"/>
          <w:caps w:val="0"/>
          <w:color w:val="auto"/>
          <w:sz w:val="20"/>
          <w:szCs w:val="20"/>
        </w:rPr>
      </w:pPr>
      <w:bookmarkStart w:id="7" w:name="_Toc128064099"/>
      <w:r>
        <w:t>Lignes directrices relatives à l’investissement</w:t>
      </w:r>
      <w:r w:rsidR="005D6539">
        <w:t xml:space="preserve"> </w:t>
      </w:r>
      <w:r>
        <w:t>[HF 1]</w:t>
      </w:r>
      <w:bookmarkEnd w:id="7"/>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1"/>
        <w:gridCol w:w="1558"/>
        <w:gridCol w:w="2833"/>
        <w:gridCol w:w="4394"/>
        <w:gridCol w:w="281"/>
        <w:gridCol w:w="1984"/>
        <w:gridCol w:w="1985"/>
        <w:gridCol w:w="8"/>
      </w:tblGrid>
      <w:tr w:rsidR="008B2326" w:rsidRPr="003058F5" w14:paraId="0353E15C" w14:textId="77777777" w:rsidTr="008A56CA">
        <w:trPr>
          <w:gridAfter w:val="1"/>
          <w:wAfter w:w="8" w:type="dxa"/>
          <w:trHeight w:val="367"/>
        </w:trPr>
        <w:tc>
          <w:tcPr>
            <w:tcW w:w="1841" w:type="dxa"/>
            <w:vMerge w:val="restart"/>
            <w:shd w:val="clear" w:color="auto" w:fill="DFF5F9"/>
            <w:vAlign w:val="center"/>
            <w:hideMark/>
          </w:tcPr>
          <w:p w14:paraId="1DF4DC8E" w14:textId="77777777" w:rsidR="00475BBF" w:rsidRPr="003058F5" w:rsidRDefault="00475BBF" w:rsidP="00B24057">
            <w:pPr>
              <w:spacing w:line="240" w:lineRule="auto"/>
              <w:jc w:val="center"/>
              <w:textAlignment w:val="baseline"/>
              <w:rPr>
                <w:rFonts w:eastAsia="Times New Roman" w:cs="Arial"/>
                <w:b/>
                <w:sz w:val="14"/>
                <w:szCs w:val="14"/>
              </w:rPr>
            </w:pPr>
            <w:r>
              <w:rPr>
                <w:b/>
                <w:sz w:val="14"/>
              </w:rPr>
              <w:t>Identifiant de l’indicateur</w:t>
            </w:r>
          </w:p>
          <w:p w14:paraId="55BDEE7B" w14:textId="77777777" w:rsidR="00475BBF" w:rsidRPr="003058F5" w:rsidRDefault="00475BBF" w:rsidP="00B24057">
            <w:pPr>
              <w:spacing w:line="240" w:lineRule="auto"/>
              <w:jc w:val="center"/>
              <w:textAlignment w:val="baseline"/>
              <w:rPr>
                <w:rFonts w:eastAsia="Times New Roman" w:cs="Arial"/>
                <w:b/>
                <w:sz w:val="14"/>
                <w:szCs w:val="14"/>
                <w:lang w:eastAsia="en-GB"/>
              </w:rPr>
            </w:pPr>
          </w:p>
          <w:p w14:paraId="7272B5AE" w14:textId="11D578EB" w:rsidR="00475BBF" w:rsidRPr="003058F5" w:rsidRDefault="00F931AE" w:rsidP="00B24057">
            <w:pPr>
              <w:pStyle w:val="Indicatorsubsection"/>
              <w:rPr>
                <w:sz w:val="18"/>
                <w:szCs w:val="18"/>
              </w:rPr>
            </w:pPr>
            <w:bookmarkStart w:id="8" w:name="_Toc128064100"/>
            <w:r>
              <w:t>HF 1</w:t>
            </w:r>
            <w:bookmarkEnd w:id="8"/>
          </w:p>
        </w:tc>
        <w:tc>
          <w:tcPr>
            <w:tcW w:w="1559" w:type="dxa"/>
            <w:shd w:val="clear" w:color="auto" w:fill="DFF5F9"/>
            <w:vAlign w:val="center"/>
            <w:hideMark/>
          </w:tcPr>
          <w:p w14:paraId="2C22C78A" w14:textId="2E0522E2" w:rsidR="00475BBF" w:rsidRPr="003058F5" w:rsidRDefault="00F61763" w:rsidP="008C5DD1">
            <w:pPr>
              <w:spacing w:line="240" w:lineRule="auto"/>
              <w:textAlignment w:val="baseline"/>
              <w:rPr>
                <w:rFonts w:eastAsia="Times New Roman" w:cs="Arial"/>
                <w:sz w:val="14"/>
                <w:szCs w:val="14"/>
              </w:rPr>
            </w:pPr>
            <w:r>
              <w:rPr>
                <w:b/>
                <w:sz w:val="14"/>
              </w:rPr>
              <w:t xml:space="preserve">Lien avec : </w:t>
            </w:r>
          </w:p>
        </w:tc>
        <w:tc>
          <w:tcPr>
            <w:tcW w:w="2835" w:type="dxa"/>
            <w:shd w:val="clear" w:color="auto" w:fill="DFF5F9"/>
            <w:vAlign w:val="center"/>
          </w:tcPr>
          <w:p w14:paraId="48D9B0A0" w14:textId="40C9B4FC" w:rsidR="00475BBF" w:rsidRPr="003058F5" w:rsidRDefault="004D5848" w:rsidP="008C5DD1">
            <w:pPr>
              <w:spacing w:line="240" w:lineRule="auto"/>
              <w:textAlignment w:val="baseline"/>
              <w:rPr>
                <w:rFonts w:eastAsia="Times New Roman" w:cs="Arial"/>
                <w:sz w:val="14"/>
                <w:szCs w:val="14"/>
              </w:rPr>
            </w:pPr>
            <w:r>
              <w:rPr>
                <w:b/>
                <w:sz w:val="22"/>
              </w:rPr>
              <w:t>OO 21</w:t>
            </w:r>
          </w:p>
        </w:tc>
        <w:tc>
          <w:tcPr>
            <w:tcW w:w="4678" w:type="dxa"/>
            <w:gridSpan w:val="2"/>
            <w:vMerge w:val="restart"/>
            <w:shd w:val="clear" w:color="auto" w:fill="DFF5F9"/>
            <w:vAlign w:val="center"/>
          </w:tcPr>
          <w:p w14:paraId="1AD18E15" w14:textId="7444832F" w:rsidR="00475BBF" w:rsidRPr="003058F5" w:rsidRDefault="00475BBF" w:rsidP="003B0BE2">
            <w:pPr>
              <w:spacing w:line="240" w:lineRule="auto"/>
              <w:jc w:val="center"/>
              <w:textAlignment w:val="baseline"/>
              <w:rPr>
                <w:rFonts w:eastAsia="Times New Roman" w:cs="Arial"/>
                <w:sz w:val="14"/>
                <w:szCs w:val="14"/>
              </w:rPr>
            </w:pPr>
            <w:r>
              <w:rPr>
                <w:b/>
                <w:sz w:val="14"/>
              </w:rPr>
              <w:t>Sous-section</w:t>
            </w:r>
            <w:r>
              <w:rPr>
                <w:sz w:val="14"/>
              </w:rPr>
              <w:t> </w:t>
            </w:r>
          </w:p>
          <w:p w14:paraId="03698DD3" w14:textId="77777777" w:rsidR="00475BBF" w:rsidRPr="003058F5" w:rsidRDefault="00475BBF" w:rsidP="003B0BE2">
            <w:pPr>
              <w:spacing w:line="240" w:lineRule="auto"/>
              <w:jc w:val="center"/>
              <w:textAlignment w:val="baseline"/>
              <w:rPr>
                <w:rFonts w:eastAsia="Times New Roman" w:cs="Arial"/>
                <w:sz w:val="14"/>
                <w:szCs w:val="14"/>
                <w:lang w:eastAsia="en-GB"/>
              </w:rPr>
            </w:pPr>
          </w:p>
          <w:p w14:paraId="0288AC4C" w14:textId="3DB20BE8" w:rsidR="00475BBF" w:rsidRPr="003058F5" w:rsidRDefault="00F931AE" w:rsidP="00B24057">
            <w:pPr>
              <w:jc w:val="center"/>
              <w:rPr>
                <w:sz w:val="18"/>
                <w:szCs w:val="18"/>
              </w:rPr>
            </w:pPr>
            <w:r>
              <w:rPr>
                <w:b/>
                <w:sz w:val="22"/>
              </w:rPr>
              <w:t>Lignes directrices relatives à l'investissement</w:t>
            </w:r>
          </w:p>
        </w:tc>
        <w:tc>
          <w:tcPr>
            <w:tcW w:w="1985" w:type="dxa"/>
            <w:vMerge w:val="restart"/>
            <w:shd w:val="clear" w:color="auto" w:fill="DFF5F9"/>
            <w:vAlign w:val="center"/>
            <w:hideMark/>
          </w:tcPr>
          <w:p w14:paraId="50467E8E" w14:textId="77777777" w:rsidR="00475BBF" w:rsidRPr="003058F5" w:rsidRDefault="00475BBF" w:rsidP="00B24057">
            <w:pPr>
              <w:spacing w:line="240" w:lineRule="auto"/>
              <w:jc w:val="center"/>
              <w:textAlignment w:val="baseline"/>
              <w:rPr>
                <w:rFonts w:eastAsia="Times New Roman" w:cs="Arial"/>
                <w:b/>
                <w:bCs/>
                <w:sz w:val="14"/>
                <w:szCs w:val="14"/>
              </w:rPr>
            </w:pPr>
            <w:r>
              <w:rPr>
                <w:b/>
                <w:sz w:val="14"/>
              </w:rPr>
              <w:t>Principe des PRI</w:t>
            </w:r>
          </w:p>
          <w:p w14:paraId="3B71E81A" w14:textId="77777777" w:rsidR="00475BBF" w:rsidRPr="003058F5" w:rsidRDefault="00475BBF" w:rsidP="00B24057">
            <w:pPr>
              <w:spacing w:line="240" w:lineRule="auto"/>
              <w:jc w:val="center"/>
              <w:textAlignment w:val="baseline"/>
              <w:rPr>
                <w:rFonts w:eastAsia="Times New Roman" w:cs="Arial"/>
                <w:b/>
                <w:bCs/>
                <w:sz w:val="14"/>
                <w:szCs w:val="14"/>
                <w:lang w:eastAsia="en-GB"/>
              </w:rPr>
            </w:pPr>
          </w:p>
          <w:p w14:paraId="1BE2081C" w14:textId="225CFB39" w:rsidR="00475BBF" w:rsidRPr="003058F5" w:rsidRDefault="00F931AE" w:rsidP="00B24057">
            <w:pPr>
              <w:spacing w:line="240" w:lineRule="auto"/>
              <w:jc w:val="center"/>
              <w:textAlignment w:val="baseline"/>
              <w:rPr>
                <w:rFonts w:eastAsia="Times New Roman" w:cs="Arial"/>
                <w:sz w:val="18"/>
                <w:szCs w:val="18"/>
              </w:rPr>
            </w:pPr>
            <w:r>
              <w:rPr>
                <w:b/>
                <w:sz w:val="22"/>
              </w:rPr>
              <w:t>1, 4, 6</w:t>
            </w:r>
            <w:r>
              <w:rPr>
                <w:sz w:val="22"/>
              </w:rPr>
              <w:t> </w:t>
            </w:r>
          </w:p>
        </w:tc>
        <w:tc>
          <w:tcPr>
            <w:tcW w:w="1986" w:type="dxa"/>
            <w:vMerge w:val="restart"/>
            <w:shd w:val="clear" w:color="auto" w:fill="00B0F0"/>
            <w:tcMar>
              <w:top w:w="113" w:type="dxa"/>
              <w:left w:w="113" w:type="dxa"/>
              <w:bottom w:w="113" w:type="dxa"/>
              <w:right w:w="113" w:type="dxa"/>
            </w:tcMar>
            <w:vAlign w:val="center"/>
            <w:hideMark/>
          </w:tcPr>
          <w:p w14:paraId="495DEBC5" w14:textId="77777777" w:rsidR="00475BBF" w:rsidRPr="003058F5" w:rsidRDefault="00475BBF" w:rsidP="00B24057">
            <w:pPr>
              <w:spacing w:line="240" w:lineRule="auto"/>
              <w:jc w:val="center"/>
              <w:textAlignment w:val="baseline"/>
              <w:rPr>
                <w:rFonts w:eastAsia="Times New Roman" w:cs="Arial"/>
                <w:b/>
                <w:bCs/>
                <w:color w:val="FFFFFF" w:themeColor="background1"/>
                <w:sz w:val="14"/>
                <w:szCs w:val="14"/>
              </w:rPr>
            </w:pPr>
            <w:r>
              <w:rPr>
                <w:b/>
                <w:color w:val="FFFFFF" w:themeColor="background1"/>
                <w:sz w:val="14"/>
              </w:rPr>
              <w:t>Type d'indicateur</w:t>
            </w:r>
          </w:p>
          <w:p w14:paraId="332AB6FD" w14:textId="77777777" w:rsidR="00475BBF" w:rsidRPr="003058F5" w:rsidRDefault="00475BBF" w:rsidP="00B24057">
            <w:pPr>
              <w:spacing w:line="240" w:lineRule="auto"/>
              <w:jc w:val="center"/>
              <w:textAlignment w:val="baseline"/>
              <w:rPr>
                <w:rFonts w:eastAsia="Times New Roman" w:cs="Arial"/>
                <w:b/>
                <w:bCs/>
                <w:color w:val="FFFFFF" w:themeColor="background1"/>
                <w:sz w:val="14"/>
                <w:szCs w:val="14"/>
                <w:lang w:eastAsia="en-GB"/>
              </w:rPr>
            </w:pPr>
          </w:p>
          <w:p w14:paraId="08BADA43" w14:textId="77777777" w:rsidR="00475BBF" w:rsidRPr="003058F5" w:rsidRDefault="00475BBF" w:rsidP="00B24057">
            <w:pPr>
              <w:autoSpaceDE w:val="0"/>
              <w:autoSpaceDN w:val="0"/>
              <w:adjustRightInd w:val="0"/>
              <w:spacing w:line="240" w:lineRule="auto"/>
              <w:jc w:val="center"/>
              <w:rPr>
                <w:rFonts w:eastAsia="Times New Roman" w:cs="Arial"/>
                <w:color w:val="FFFFFF" w:themeColor="background1"/>
                <w:sz w:val="32"/>
                <w:szCs w:val="32"/>
              </w:rPr>
            </w:pPr>
            <w:r>
              <w:rPr>
                <w:b/>
                <w:color w:val="FFFFFF" w:themeColor="background1"/>
                <w:sz w:val="32"/>
              </w:rPr>
              <w:t>CORE</w:t>
            </w:r>
          </w:p>
        </w:tc>
      </w:tr>
      <w:tr w:rsidR="008B2326" w:rsidRPr="003058F5" w14:paraId="2D0021C9" w14:textId="77777777" w:rsidTr="008A56CA">
        <w:trPr>
          <w:gridAfter w:val="1"/>
          <w:wAfter w:w="8" w:type="dxa"/>
          <w:trHeight w:val="367"/>
        </w:trPr>
        <w:tc>
          <w:tcPr>
            <w:tcW w:w="1841" w:type="dxa"/>
            <w:vMerge/>
            <w:shd w:val="clear" w:color="auto" w:fill="DFF5F9"/>
            <w:vAlign w:val="center"/>
          </w:tcPr>
          <w:p w14:paraId="4C27241E" w14:textId="77777777" w:rsidR="00475BBF" w:rsidRPr="003058F5" w:rsidRDefault="00475BBF" w:rsidP="00B24057">
            <w:pPr>
              <w:spacing w:line="240" w:lineRule="auto"/>
              <w:jc w:val="center"/>
              <w:textAlignment w:val="baseline"/>
              <w:rPr>
                <w:rFonts w:eastAsia="Times New Roman" w:cs="Arial"/>
                <w:b/>
                <w:sz w:val="14"/>
                <w:szCs w:val="14"/>
                <w:lang w:eastAsia="en-GB"/>
              </w:rPr>
            </w:pPr>
          </w:p>
        </w:tc>
        <w:tc>
          <w:tcPr>
            <w:tcW w:w="1559" w:type="dxa"/>
            <w:shd w:val="clear" w:color="auto" w:fill="DFF5F9"/>
            <w:vAlign w:val="center"/>
          </w:tcPr>
          <w:p w14:paraId="3C3C60DD" w14:textId="1DB917DC" w:rsidR="00475BBF" w:rsidRPr="003058F5" w:rsidRDefault="00AE00D9" w:rsidP="008C5DD1">
            <w:pPr>
              <w:spacing w:line="240" w:lineRule="auto"/>
              <w:textAlignment w:val="baseline"/>
              <w:rPr>
                <w:rFonts w:eastAsia="Times New Roman" w:cs="Arial"/>
                <w:b/>
                <w:sz w:val="14"/>
                <w:szCs w:val="14"/>
              </w:rPr>
            </w:pPr>
            <w:r>
              <w:rPr>
                <w:b/>
                <w:sz w:val="14"/>
              </w:rPr>
              <w:t>Accès à</w:t>
            </w:r>
            <w:r w:rsidR="00767929">
              <w:rPr>
                <w:b/>
                <w:sz w:val="14"/>
              </w:rPr>
              <w:t> :</w:t>
            </w:r>
          </w:p>
        </w:tc>
        <w:tc>
          <w:tcPr>
            <w:tcW w:w="2835" w:type="dxa"/>
            <w:shd w:val="clear" w:color="auto" w:fill="DFF5F9"/>
            <w:vAlign w:val="center"/>
          </w:tcPr>
          <w:p w14:paraId="14A15DCB" w14:textId="32DCB55C" w:rsidR="00475BBF" w:rsidRPr="003058F5" w:rsidRDefault="00573C9E" w:rsidP="008C5DD1">
            <w:pPr>
              <w:spacing w:line="240" w:lineRule="auto"/>
              <w:textAlignment w:val="baseline"/>
              <w:rPr>
                <w:rFonts w:eastAsia="Times New Roman" w:cs="Arial"/>
                <w:b/>
                <w:sz w:val="14"/>
                <w:szCs w:val="14"/>
              </w:rPr>
            </w:pPr>
            <w:r>
              <w:rPr>
                <w:b/>
                <w:sz w:val="22"/>
              </w:rPr>
              <w:t>Sans objet</w:t>
            </w:r>
          </w:p>
        </w:tc>
        <w:tc>
          <w:tcPr>
            <w:tcW w:w="4678" w:type="dxa"/>
            <w:gridSpan w:val="2"/>
            <w:vMerge/>
            <w:shd w:val="clear" w:color="auto" w:fill="DFF5F9"/>
            <w:vAlign w:val="center"/>
          </w:tcPr>
          <w:p w14:paraId="0D97EA19" w14:textId="77777777" w:rsidR="00475BBF" w:rsidRPr="003058F5" w:rsidRDefault="00475BBF" w:rsidP="003B0BE2">
            <w:pPr>
              <w:spacing w:line="240" w:lineRule="auto"/>
              <w:jc w:val="center"/>
              <w:textAlignment w:val="baseline"/>
              <w:rPr>
                <w:rFonts w:eastAsia="Times New Roman" w:cs="Arial"/>
                <w:b/>
                <w:sz w:val="14"/>
                <w:szCs w:val="14"/>
                <w:lang w:eastAsia="en-GB"/>
              </w:rPr>
            </w:pPr>
          </w:p>
        </w:tc>
        <w:tc>
          <w:tcPr>
            <w:tcW w:w="1985" w:type="dxa"/>
            <w:vMerge/>
            <w:shd w:val="clear" w:color="auto" w:fill="DFF5F9"/>
            <w:vAlign w:val="center"/>
          </w:tcPr>
          <w:p w14:paraId="17FC8126" w14:textId="77777777" w:rsidR="00475BBF" w:rsidRPr="003058F5" w:rsidRDefault="00475BBF" w:rsidP="00B24057">
            <w:pPr>
              <w:spacing w:line="240" w:lineRule="auto"/>
              <w:jc w:val="center"/>
              <w:textAlignment w:val="baseline"/>
              <w:rPr>
                <w:rFonts w:eastAsia="Times New Roman" w:cs="Arial"/>
                <w:b/>
                <w:bCs/>
                <w:sz w:val="14"/>
                <w:szCs w:val="14"/>
                <w:lang w:eastAsia="en-GB"/>
              </w:rPr>
            </w:pPr>
          </w:p>
        </w:tc>
        <w:tc>
          <w:tcPr>
            <w:tcW w:w="1986" w:type="dxa"/>
            <w:vMerge/>
            <w:shd w:val="clear" w:color="auto" w:fill="00B0F0"/>
            <w:tcMar>
              <w:top w:w="113" w:type="dxa"/>
              <w:left w:w="113" w:type="dxa"/>
              <w:bottom w:w="113" w:type="dxa"/>
              <w:right w:w="113" w:type="dxa"/>
            </w:tcMar>
            <w:vAlign w:val="center"/>
          </w:tcPr>
          <w:p w14:paraId="4CF34DE5" w14:textId="77777777" w:rsidR="00475BBF" w:rsidRPr="003058F5" w:rsidRDefault="00475BBF" w:rsidP="00B24057">
            <w:pPr>
              <w:spacing w:line="240" w:lineRule="auto"/>
              <w:jc w:val="center"/>
              <w:textAlignment w:val="baseline"/>
              <w:rPr>
                <w:rFonts w:eastAsia="Times New Roman" w:cs="Arial"/>
                <w:b/>
                <w:bCs/>
                <w:color w:val="FFFFFF" w:themeColor="background1"/>
                <w:sz w:val="14"/>
                <w:szCs w:val="14"/>
                <w:lang w:eastAsia="en-GB"/>
              </w:rPr>
            </w:pPr>
          </w:p>
        </w:tc>
      </w:tr>
      <w:tr w:rsidR="00671AF7" w:rsidRPr="003058F5" w14:paraId="49A25013" w14:textId="77777777" w:rsidTr="00F15919">
        <w:trPr>
          <w:gridAfter w:val="1"/>
          <w:wAfter w:w="8" w:type="dxa"/>
          <w:trHeight w:val="567"/>
        </w:trPr>
        <w:tc>
          <w:tcPr>
            <w:tcW w:w="14884" w:type="dxa"/>
            <w:gridSpan w:val="7"/>
            <w:shd w:val="clear" w:color="auto" w:fill="FFFFFF" w:themeFill="background1"/>
            <w:tcMar>
              <w:top w:w="113" w:type="dxa"/>
              <w:left w:w="113" w:type="dxa"/>
              <w:bottom w:w="113" w:type="dxa"/>
              <w:right w:w="113" w:type="dxa"/>
            </w:tcMar>
            <w:vAlign w:val="center"/>
            <w:hideMark/>
          </w:tcPr>
          <w:p w14:paraId="43F92F8F" w14:textId="60D50486" w:rsidR="00671AF7" w:rsidRPr="003058F5" w:rsidRDefault="00F931AE" w:rsidP="00F931AE">
            <w:pPr>
              <w:spacing w:line="276" w:lineRule="auto"/>
              <w:textAlignment w:val="baseline"/>
              <w:rPr>
                <w:rFonts w:eastAsia="Times New Roman" w:cs="Arial"/>
              </w:rPr>
            </w:pPr>
            <w:r>
              <w:rPr>
                <w:b/>
              </w:rPr>
              <w:t xml:space="preserve">Quelles activités, pratiques et/ou relations sont couvertes par la ou les </w:t>
            </w:r>
            <w:hyperlink r:id="rId13" w:history="1">
              <w:r>
                <w:rPr>
                  <w:rStyle w:val="Lienhypertexte"/>
                  <w:b/>
                </w:rPr>
                <w:t>politique(s) d’investissement responsable</w:t>
              </w:r>
            </w:hyperlink>
            <w:r>
              <w:rPr>
                <w:b/>
              </w:rPr>
              <w:t xml:space="preserve"> de votre organisation concernant la majorité de vos fonds spéculatifs (</w:t>
            </w:r>
            <w:proofErr w:type="spellStart"/>
            <w:r>
              <w:rPr>
                <w:b/>
                <w:i/>
                <w:iCs/>
              </w:rPr>
              <w:t>hedge</w:t>
            </w:r>
            <w:proofErr w:type="spellEnd"/>
            <w:r>
              <w:rPr>
                <w:b/>
                <w:i/>
                <w:iCs/>
              </w:rPr>
              <w:t xml:space="preserve"> </w:t>
            </w:r>
            <w:proofErr w:type="spellStart"/>
            <w:r>
              <w:rPr>
                <w:b/>
                <w:i/>
                <w:iCs/>
              </w:rPr>
              <w:t>funds</w:t>
            </w:r>
            <w:proofErr w:type="spellEnd"/>
            <w:r>
              <w:t>)</w:t>
            </w:r>
            <w:r w:rsidR="00767929">
              <w:rPr>
                <w:b/>
              </w:rPr>
              <w:t> ?</w:t>
            </w:r>
          </w:p>
        </w:tc>
      </w:tr>
      <w:tr w:rsidR="00671AF7" w:rsidRPr="003058F5" w14:paraId="1C284969" w14:textId="77777777" w:rsidTr="00F15919">
        <w:trPr>
          <w:gridAfter w:val="1"/>
          <w:wAfter w:w="8" w:type="dxa"/>
          <w:trHeight w:val="465"/>
        </w:trPr>
        <w:tc>
          <w:tcPr>
            <w:tcW w:w="14884" w:type="dxa"/>
            <w:gridSpan w:val="7"/>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2495A0E5" w14:textId="7E26FADD" w:rsidR="001021A7" w:rsidRPr="003058F5" w:rsidRDefault="00711D6D" w:rsidP="005148D0">
            <w:pPr>
              <w:pStyle w:val="Paragraphedeliste"/>
              <w:numPr>
                <w:ilvl w:val="0"/>
                <w:numId w:val="14"/>
              </w:numPr>
              <w:spacing w:line="276" w:lineRule="auto"/>
              <w:textAlignment w:val="baseline"/>
              <w:rPr>
                <w:rFonts w:eastAsia="Times New Roman" w:cs="Arial"/>
                <w:szCs w:val="16"/>
              </w:rPr>
            </w:pPr>
            <w:r>
              <w:t>(A) Nos exigences ESG vis-à-vis des courtiers principaux (</w:t>
            </w:r>
            <w:r>
              <w:rPr>
                <w:i/>
                <w:iCs/>
              </w:rPr>
              <w:t>prime brokers</w:t>
            </w:r>
            <w:r>
              <w:t>)</w:t>
            </w:r>
          </w:p>
          <w:p w14:paraId="1B4A4616" w14:textId="1567F51F" w:rsidR="001021A7" w:rsidRPr="003058F5" w:rsidRDefault="00711D6D" w:rsidP="005148D0">
            <w:pPr>
              <w:pStyle w:val="Paragraphedeliste"/>
              <w:numPr>
                <w:ilvl w:val="0"/>
                <w:numId w:val="14"/>
              </w:numPr>
              <w:spacing w:line="276" w:lineRule="auto"/>
              <w:textAlignment w:val="baseline"/>
              <w:rPr>
                <w:rFonts w:eastAsia="Times New Roman" w:cs="Arial"/>
                <w:szCs w:val="16"/>
              </w:rPr>
            </w:pPr>
            <w:r>
              <w:t>(B) Nos exigences ESG vis-à-vis des administrateurs et des dépositaires</w:t>
            </w:r>
          </w:p>
          <w:p w14:paraId="0B6F8C1E" w14:textId="4B3A0034" w:rsidR="001021A7" w:rsidRPr="003058F5" w:rsidRDefault="00711D6D" w:rsidP="005148D0">
            <w:pPr>
              <w:pStyle w:val="Paragraphedeliste"/>
              <w:numPr>
                <w:ilvl w:val="0"/>
                <w:numId w:val="14"/>
              </w:numPr>
              <w:spacing w:line="276" w:lineRule="auto"/>
              <w:textAlignment w:val="baseline"/>
              <w:rPr>
                <w:rFonts w:eastAsia="Times New Roman" w:cs="Arial"/>
                <w:szCs w:val="16"/>
              </w:rPr>
            </w:pPr>
            <w:r>
              <w:t xml:space="preserve">(C) Nos exigences ESG vis-à-vis des </w:t>
            </w:r>
            <w:hyperlink r:id="rId14" w:history="1">
              <w:r>
                <w:rPr>
                  <w:rStyle w:val="Lienhypertexte"/>
                </w:rPr>
                <w:t>prestataires de services</w:t>
              </w:r>
            </w:hyperlink>
            <w:r>
              <w:t xml:space="preserve"> </w:t>
            </w:r>
            <w:hyperlink r:id="rId15" w:history="1">
              <w:r>
                <w:rPr>
                  <w:rStyle w:val="Lienhypertexte"/>
                </w:rPr>
                <w:t>de vote (par procuration)</w:t>
              </w:r>
            </w:hyperlink>
            <w:r>
              <w:t xml:space="preserve"> (ou d’autres prestataires tiers), le cas échéant</w:t>
            </w:r>
          </w:p>
          <w:p w14:paraId="515F115F" w14:textId="50335D7C" w:rsidR="001021A7" w:rsidRPr="003058F5" w:rsidRDefault="00711D6D" w:rsidP="005148D0">
            <w:pPr>
              <w:pStyle w:val="Paragraphedeliste"/>
              <w:numPr>
                <w:ilvl w:val="0"/>
                <w:numId w:val="14"/>
              </w:numPr>
              <w:spacing w:line="276" w:lineRule="auto"/>
              <w:textAlignment w:val="baseline"/>
              <w:rPr>
                <w:rFonts w:eastAsia="Times New Roman" w:cs="Arial"/>
                <w:szCs w:val="16"/>
              </w:rPr>
            </w:pPr>
            <w:r>
              <w:t>(D) La communication des violations de notre politique d'investissement responsable aux clients</w:t>
            </w:r>
          </w:p>
          <w:p w14:paraId="472A4560" w14:textId="6A7F2674" w:rsidR="001021A7" w:rsidRPr="003058F5" w:rsidRDefault="00711D6D" w:rsidP="005148D0">
            <w:pPr>
              <w:pStyle w:val="Paragraphedeliste"/>
              <w:numPr>
                <w:ilvl w:val="0"/>
                <w:numId w:val="14"/>
              </w:numPr>
              <w:spacing w:line="276" w:lineRule="auto"/>
              <w:textAlignment w:val="baseline"/>
              <w:rPr>
                <w:rFonts w:eastAsia="Times New Roman" w:cs="Arial"/>
                <w:szCs w:val="16"/>
              </w:rPr>
            </w:pPr>
            <w:r>
              <w:t xml:space="preserve">(E) L’intégration ESG de nos expositions longues et/ou courtes </w:t>
            </w:r>
          </w:p>
          <w:p w14:paraId="0D500B97" w14:textId="0B269FA3" w:rsidR="001021A7" w:rsidRPr="003058F5" w:rsidRDefault="00711D6D" w:rsidP="005148D0">
            <w:pPr>
              <w:pStyle w:val="Paragraphedeliste"/>
              <w:numPr>
                <w:ilvl w:val="0"/>
                <w:numId w:val="14"/>
              </w:numPr>
              <w:spacing w:line="276" w:lineRule="auto"/>
              <w:textAlignment w:val="baseline"/>
              <w:rPr>
                <w:rFonts w:eastAsia="Times New Roman" w:cs="Arial"/>
                <w:szCs w:val="16"/>
              </w:rPr>
            </w:pPr>
            <w:r>
              <w:t xml:space="preserve">(F) Le fait que des secteurs, des émetteurs, des actions et/ou des types d'actifs sont ou non exclu(e)s du portefeuille en raison de </w:t>
            </w:r>
            <w:hyperlink r:id="rId16" w:history="1">
              <w:r>
                <w:rPr>
                  <w:rStyle w:val="Lienhypertexte"/>
                </w:rPr>
                <w:t>critères ESG</w:t>
              </w:r>
            </w:hyperlink>
            <w:r>
              <w:t xml:space="preserve"> </w:t>
            </w:r>
          </w:p>
          <w:p w14:paraId="52D951D5" w14:textId="0FE0676A" w:rsidR="001021A7" w:rsidRPr="003058F5" w:rsidRDefault="00711D6D" w:rsidP="005148D0">
            <w:pPr>
              <w:pStyle w:val="Paragraphedeliste"/>
              <w:numPr>
                <w:ilvl w:val="0"/>
                <w:numId w:val="14"/>
              </w:numPr>
              <w:spacing w:line="276" w:lineRule="auto"/>
              <w:textAlignment w:val="baseline"/>
              <w:rPr>
                <w:rFonts w:eastAsia="Times New Roman" w:cs="Arial"/>
                <w:szCs w:val="16"/>
              </w:rPr>
            </w:pPr>
            <w:r>
              <w:t xml:space="preserve">(G) Le dialogue avec les émetteurs, les actifs réels et les entreprises dans lesquelles nous investissons </w:t>
            </w:r>
          </w:p>
          <w:p w14:paraId="72E6D28C" w14:textId="519D9CFF" w:rsidR="00671AF7" w:rsidRPr="003058F5" w:rsidRDefault="00711D6D" w:rsidP="005148D0">
            <w:pPr>
              <w:pStyle w:val="Paragraphedeliste"/>
              <w:numPr>
                <w:ilvl w:val="0"/>
                <w:numId w:val="15"/>
              </w:numPr>
              <w:spacing w:line="276" w:lineRule="auto"/>
              <w:textAlignment w:val="baseline"/>
              <w:rPr>
                <w:rFonts w:eastAsia="Times New Roman" w:cs="Arial"/>
                <w:sz w:val="16"/>
                <w:szCs w:val="16"/>
              </w:rPr>
            </w:pPr>
            <w:r>
              <w:t>(H) Notre (nos) politique(s) d'investissement responsable ne couvre(nt) pas spécifiquement les activités, pratiques et/ou relations pour nos fonds spéculatifs</w:t>
            </w:r>
          </w:p>
        </w:tc>
      </w:tr>
      <w:tr w:rsidR="00671AF7" w:rsidRPr="003058F5" w14:paraId="7F5673F6" w14:textId="77777777" w:rsidTr="00F15919">
        <w:trPr>
          <w:gridAfter w:val="1"/>
          <w:wAfter w:w="8" w:type="dxa"/>
          <w:trHeight w:val="300"/>
        </w:trPr>
        <w:tc>
          <w:tcPr>
            <w:tcW w:w="14884" w:type="dxa"/>
            <w:gridSpan w:val="7"/>
            <w:tcBorders>
              <w:left w:val="nil"/>
              <w:right w:val="nil"/>
            </w:tcBorders>
            <w:shd w:val="clear" w:color="auto" w:fill="FFFFFF" w:themeFill="background1"/>
            <w:tcMar>
              <w:top w:w="0" w:type="dxa"/>
              <w:bottom w:w="0" w:type="dxa"/>
            </w:tcMar>
            <w:vAlign w:val="center"/>
          </w:tcPr>
          <w:p w14:paraId="5095010F" w14:textId="77777777" w:rsidR="00671AF7" w:rsidRPr="003058F5" w:rsidRDefault="00671AF7" w:rsidP="00B24057">
            <w:pPr>
              <w:spacing w:line="240" w:lineRule="auto"/>
              <w:jc w:val="center"/>
              <w:textAlignment w:val="baseline"/>
              <w:rPr>
                <w:rStyle w:val="Lienhypertexte"/>
                <w:sz w:val="16"/>
                <w:szCs w:val="16"/>
              </w:rPr>
            </w:pPr>
          </w:p>
        </w:tc>
      </w:tr>
      <w:tr w:rsidR="00671AF7" w:rsidRPr="003058F5" w14:paraId="7EBB3C70" w14:textId="77777777" w:rsidTr="00F15919">
        <w:trPr>
          <w:gridAfter w:val="1"/>
          <w:wAfter w:w="8" w:type="dxa"/>
          <w:trHeight w:val="300"/>
        </w:trPr>
        <w:tc>
          <w:tcPr>
            <w:tcW w:w="14884" w:type="dxa"/>
            <w:gridSpan w:val="7"/>
            <w:shd w:val="clear" w:color="auto" w:fill="0070C0"/>
            <w:vAlign w:val="center"/>
          </w:tcPr>
          <w:p w14:paraId="32ABAA91" w14:textId="77777777" w:rsidR="00671AF7" w:rsidRPr="003058F5" w:rsidRDefault="00671AF7" w:rsidP="00B24057">
            <w:pPr>
              <w:rPr>
                <w:rStyle w:val="Lienhypertexte"/>
                <w:b/>
                <w:bCs/>
                <w:color w:val="FFFFFF" w:themeColor="background1"/>
                <w:sz w:val="18"/>
                <w:szCs w:val="18"/>
              </w:rPr>
            </w:pPr>
            <w:r>
              <w:rPr>
                <w:b/>
                <w:color w:val="FFFFFF" w:themeColor="background1"/>
                <w:sz w:val="18"/>
              </w:rPr>
              <w:t>Notes explicatives</w:t>
            </w:r>
          </w:p>
        </w:tc>
      </w:tr>
      <w:tr w:rsidR="00671AF7" w:rsidRPr="003058F5" w14:paraId="2E81C56F" w14:textId="77777777" w:rsidTr="00F15919">
        <w:trPr>
          <w:gridAfter w:val="1"/>
          <w:wAfter w:w="8" w:type="dxa"/>
          <w:trHeight w:val="300"/>
        </w:trPr>
        <w:tc>
          <w:tcPr>
            <w:tcW w:w="1841" w:type="dxa"/>
            <w:shd w:val="clear" w:color="auto" w:fill="auto"/>
            <w:vAlign w:val="center"/>
          </w:tcPr>
          <w:p w14:paraId="700A84A1" w14:textId="77777777" w:rsidR="00671AF7" w:rsidRPr="003058F5" w:rsidRDefault="00671AF7" w:rsidP="00B24057">
            <w:pPr>
              <w:rPr>
                <w:rStyle w:val="Lienhypertexte"/>
                <w:b/>
                <w:sz w:val="16"/>
                <w:szCs w:val="16"/>
              </w:rPr>
            </w:pPr>
            <w:r>
              <w:rPr>
                <w:b/>
                <w:sz w:val="16"/>
              </w:rPr>
              <w:t>Objectif de l’indicateur</w:t>
            </w:r>
          </w:p>
        </w:tc>
        <w:tc>
          <w:tcPr>
            <w:tcW w:w="13043" w:type="dxa"/>
            <w:gridSpan w:val="6"/>
            <w:shd w:val="clear" w:color="auto" w:fill="auto"/>
            <w:vAlign w:val="center"/>
          </w:tcPr>
          <w:p w14:paraId="6F1DEC10" w14:textId="641FADDA" w:rsidR="00306E1D" w:rsidRPr="003058F5" w:rsidRDefault="00306E1D" w:rsidP="00306E1D">
            <w:pPr>
              <w:rPr>
                <w:rStyle w:val="Lienhypertexte"/>
                <w:color w:val="000000" w:themeColor="text1"/>
                <w:sz w:val="16"/>
                <w:szCs w:val="16"/>
              </w:rPr>
            </w:pPr>
            <w:r>
              <w:rPr>
                <w:rStyle w:val="Lienhypertexte"/>
                <w:color w:val="000000" w:themeColor="text1"/>
                <w:sz w:val="16"/>
              </w:rPr>
              <w:t>Cet indicateur vise à déterminer si la politique d'investissement responsable d'un signataire inclut des lignes directrices spécifiques aux fonds spéculatifs pour ses</w:t>
            </w:r>
            <w:r w:rsidR="00644D6D">
              <w:rPr>
                <w:rStyle w:val="Lienhypertexte"/>
                <w:color w:val="000000" w:themeColor="text1"/>
                <w:sz w:val="16"/>
              </w:rPr>
              <w:t xml:space="preserve"> actifs de</w:t>
            </w:r>
            <w:r>
              <w:rPr>
                <w:rStyle w:val="Lienhypertexte"/>
                <w:color w:val="000000" w:themeColor="text1"/>
                <w:sz w:val="16"/>
              </w:rPr>
              <w:t xml:space="preserve"> fonds spéculatifs. De nombreux investisseurs disposent d'une politique ESG ou en matière d’investissement responsable à l’échelle de l'organisation, qui couvre toutes les classes d'actifs. Or, une politique couvrant toutes les classes d'actifs est susceptible de laisser de la place à l'interprétation en ce qui concerne son application aux fonds spéculatifs. Adapter cette politique pour dégager des lignes directrices ESG spécifiques aux fonds spéculatifs d'une organisation est préférable et contribuera à aligner les attentes et les pratiques liées à l'investissement responsable dans les fonds spéculatifs.</w:t>
            </w:r>
          </w:p>
          <w:p w14:paraId="69F62529" w14:textId="77777777" w:rsidR="00306E1D" w:rsidRPr="003058F5" w:rsidRDefault="00306E1D" w:rsidP="00306E1D">
            <w:pPr>
              <w:rPr>
                <w:rStyle w:val="Lienhypertexte"/>
                <w:color w:val="000000" w:themeColor="text1"/>
                <w:sz w:val="16"/>
                <w:szCs w:val="16"/>
              </w:rPr>
            </w:pPr>
          </w:p>
          <w:p w14:paraId="5E8EFCB6" w14:textId="5CE5AD72" w:rsidR="00671AF7" w:rsidRPr="003058F5" w:rsidRDefault="00306E1D" w:rsidP="00306E1D">
            <w:pPr>
              <w:rPr>
                <w:rStyle w:val="Lienhypertexte"/>
                <w:color w:val="000000" w:themeColor="text1"/>
                <w:sz w:val="16"/>
                <w:szCs w:val="16"/>
              </w:rPr>
            </w:pPr>
            <w:r>
              <w:rPr>
                <w:rStyle w:val="Lienhypertexte"/>
                <w:color w:val="000000" w:themeColor="text1"/>
                <w:sz w:val="16"/>
              </w:rPr>
              <w:lastRenderedPageBreak/>
              <w:t>Les options visent à fournir au signataire l'occasion de décrire l'impact de la politique d’investissement responsable du fonds spéculatif ou de la société de gestion sur les relations ou contrats B2B et le processus de sélection des actifs.</w:t>
            </w:r>
          </w:p>
        </w:tc>
      </w:tr>
      <w:tr w:rsidR="00671AF7" w:rsidRPr="003058F5" w14:paraId="25568454" w14:textId="77777777" w:rsidTr="00F15919">
        <w:trPr>
          <w:gridAfter w:val="1"/>
          <w:wAfter w:w="8" w:type="dxa"/>
          <w:trHeight w:val="300"/>
        </w:trPr>
        <w:tc>
          <w:tcPr>
            <w:tcW w:w="1841" w:type="dxa"/>
            <w:shd w:val="clear" w:color="auto" w:fill="auto"/>
            <w:vAlign w:val="center"/>
          </w:tcPr>
          <w:p w14:paraId="437FFBB4" w14:textId="220989B2" w:rsidR="00671AF7" w:rsidRPr="003058F5" w:rsidRDefault="004B4572" w:rsidP="00B24057">
            <w:pPr>
              <w:rPr>
                <w:rStyle w:val="Lienhypertexte"/>
                <w:b/>
                <w:sz w:val="16"/>
                <w:szCs w:val="16"/>
              </w:rPr>
            </w:pPr>
            <w:r>
              <w:rPr>
                <w:b/>
                <w:sz w:val="16"/>
              </w:rPr>
              <w:lastRenderedPageBreak/>
              <w:t>Recommandations supplémentaires</w:t>
            </w:r>
            <w:r w:rsidR="00671AF7">
              <w:rPr>
                <w:b/>
                <w:sz w:val="16"/>
              </w:rPr>
              <w:t xml:space="preserve"> en matière de </w:t>
            </w:r>
            <w:proofErr w:type="spellStart"/>
            <w:r w:rsidR="00671AF7">
              <w:rPr>
                <w:b/>
                <w:sz w:val="16"/>
              </w:rPr>
              <w:t>reporting</w:t>
            </w:r>
            <w:proofErr w:type="spellEnd"/>
          </w:p>
        </w:tc>
        <w:tc>
          <w:tcPr>
            <w:tcW w:w="13043" w:type="dxa"/>
            <w:gridSpan w:val="6"/>
            <w:shd w:val="clear" w:color="auto" w:fill="auto"/>
            <w:vAlign w:val="center"/>
          </w:tcPr>
          <w:p w14:paraId="1FE81411" w14:textId="22B46303" w:rsidR="00671AF7" w:rsidRPr="003058F5" w:rsidRDefault="00306E1D" w:rsidP="00306E1D">
            <w:pPr>
              <w:rPr>
                <w:rStyle w:val="Lienhypertexte"/>
                <w:color w:val="000000" w:themeColor="text1"/>
                <w:sz w:val="16"/>
                <w:szCs w:val="16"/>
              </w:rPr>
            </w:pPr>
            <w:r>
              <w:rPr>
                <w:rStyle w:val="Lienhypertexte"/>
                <w:color w:val="000000" w:themeColor="text1"/>
                <w:sz w:val="16"/>
              </w:rPr>
              <w:t>Les lignes directrices relatives aux relations et/ou activités spécifiques aux fonds spéculatifs peuvent figurer dans un document séparé (p.</w:t>
            </w:r>
            <w:r w:rsidR="00F61763">
              <w:rPr>
                <w:rStyle w:val="Lienhypertexte"/>
                <w:color w:val="000000" w:themeColor="text1"/>
                <w:sz w:val="16"/>
              </w:rPr>
              <w:t> </w:t>
            </w:r>
            <w:r>
              <w:rPr>
                <w:rStyle w:val="Lienhypertexte"/>
                <w:color w:val="000000" w:themeColor="text1"/>
                <w:sz w:val="16"/>
              </w:rPr>
              <w:t xml:space="preserve">ex., une politique relative aux fonds spéculatifs) ou dans la politique générale relative à l’investissement responsable. </w:t>
            </w:r>
          </w:p>
        </w:tc>
      </w:tr>
      <w:tr w:rsidR="00671AF7" w:rsidRPr="003058F5" w14:paraId="1C0C17B1" w14:textId="77777777" w:rsidTr="00F15919">
        <w:trPr>
          <w:gridAfter w:val="1"/>
          <w:wAfter w:w="8" w:type="dxa"/>
          <w:trHeight w:val="300"/>
        </w:trPr>
        <w:tc>
          <w:tcPr>
            <w:tcW w:w="1841" w:type="dxa"/>
            <w:shd w:val="clear" w:color="auto" w:fill="auto"/>
            <w:vAlign w:val="center"/>
          </w:tcPr>
          <w:p w14:paraId="031F4E2E" w14:textId="77777777" w:rsidR="00671AF7" w:rsidRPr="003058F5" w:rsidRDefault="00671AF7" w:rsidP="00B24057">
            <w:pPr>
              <w:rPr>
                <w:b/>
                <w:bCs/>
                <w:sz w:val="16"/>
                <w:szCs w:val="16"/>
              </w:rPr>
            </w:pPr>
            <w:r>
              <w:rPr>
                <w:b/>
                <w:sz w:val="16"/>
              </w:rPr>
              <w:t>Autres ressources</w:t>
            </w:r>
          </w:p>
        </w:tc>
        <w:tc>
          <w:tcPr>
            <w:tcW w:w="13043" w:type="dxa"/>
            <w:gridSpan w:val="6"/>
            <w:shd w:val="clear" w:color="auto" w:fill="auto"/>
            <w:vAlign w:val="center"/>
          </w:tcPr>
          <w:p w14:paraId="603A4C1B" w14:textId="62F43685" w:rsidR="00671AF7" w:rsidRPr="003058F5" w:rsidRDefault="00306E1D" w:rsidP="00306E1D">
            <w:pPr>
              <w:rPr>
                <w:rStyle w:val="Lienhypertexte"/>
                <w:color w:val="000000" w:themeColor="text1"/>
                <w:sz w:val="16"/>
                <w:szCs w:val="16"/>
              </w:rPr>
            </w:pPr>
            <w:r>
              <w:rPr>
                <w:rStyle w:val="Lienhypertexte"/>
                <w:color w:val="000000" w:themeColor="text1"/>
                <w:sz w:val="16"/>
              </w:rPr>
              <w:t xml:space="preserve">Pour obtenir des indications sur la façon de rédiger une politique d'investissement responsable, veuillez consulter le document intitulé </w:t>
            </w:r>
            <w:hyperlink r:id="rId17" w:history="1">
              <w:r>
                <w:rPr>
                  <w:rStyle w:val="Lienhypertexte"/>
                  <w:sz w:val="16"/>
                </w:rPr>
                <w:t xml:space="preserve">An introduction to </w:t>
              </w:r>
              <w:proofErr w:type="spellStart"/>
              <w:r>
                <w:rPr>
                  <w:rStyle w:val="Lienhypertexte"/>
                  <w:sz w:val="16"/>
                </w:rPr>
                <w:t>responsible</w:t>
              </w:r>
              <w:proofErr w:type="spellEnd"/>
              <w:r>
                <w:rPr>
                  <w:rStyle w:val="Lienhypertexte"/>
                  <w:sz w:val="16"/>
                </w:rPr>
                <w:t xml:space="preserve"> </w:t>
              </w:r>
              <w:proofErr w:type="spellStart"/>
              <w:r>
                <w:rPr>
                  <w:rStyle w:val="Lienhypertexte"/>
                  <w:sz w:val="16"/>
                </w:rPr>
                <w:t>investment</w:t>
              </w:r>
              <w:proofErr w:type="spellEnd"/>
              <w:r>
                <w:rPr>
                  <w:rStyle w:val="Lienhypertexte"/>
                  <w:sz w:val="16"/>
                </w:rPr>
                <w:t xml:space="preserve">: </w:t>
              </w:r>
              <w:proofErr w:type="spellStart"/>
              <w:r>
                <w:rPr>
                  <w:rStyle w:val="Lienhypertexte"/>
                  <w:sz w:val="16"/>
                </w:rPr>
                <w:t>policy</w:t>
              </w:r>
              <w:proofErr w:type="spellEnd"/>
              <w:r>
                <w:rPr>
                  <w:rStyle w:val="Lienhypertexte"/>
                  <w:sz w:val="16"/>
                </w:rPr>
                <w:t>, structure and process (Introduction à l'investissement responsable</w:t>
              </w:r>
              <w:r w:rsidR="00767929">
                <w:rPr>
                  <w:rStyle w:val="Lienhypertexte"/>
                  <w:sz w:val="16"/>
                </w:rPr>
                <w:t> :</w:t>
              </w:r>
              <w:r>
                <w:rPr>
                  <w:rStyle w:val="Lienhypertexte"/>
                  <w:sz w:val="16"/>
                </w:rPr>
                <w:t xml:space="preserve"> politique, structure et processus)</w:t>
              </w:r>
            </w:hyperlink>
            <w:r>
              <w:rPr>
                <w:rStyle w:val="Lienhypertexte"/>
                <w:color w:val="000000" w:themeColor="text1"/>
                <w:sz w:val="16"/>
              </w:rPr>
              <w:t>.</w:t>
            </w:r>
          </w:p>
          <w:p w14:paraId="48626D99" w14:textId="77777777" w:rsidR="00A60315" w:rsidRPr="003058F5" w:rsidRDefault="00A60315" w:rsidP="00306E1D">
            <w:pPr>
              <w:rPr>
                <w:rStyle w:val="Lienhypertexte"/>
                <w:color w:val="000000" w:themeColor="text1"/>
              </w:rPr>
            </w:pPr>
          </w:p>
          <w:p w14:paraId="6306EF02" w14:textId="4DDC89BF" w:rsidR="00A60315" w:rsidRPr="003058F5" w:rsidRDefault="00A60315" w:rsidP="00306E1D">
            <w:pPr>
              <w:rPr>
                <w:rStyle w:val="Lienhypertexte"/>
                <w:color w:val="000000" w:themeColor="text1"/>
              </w:rPr>
            </w:pPr>
            <w:r>
              <w:rPr>
                <w:rStyle w:val="Lienhypertexte"/>
                <w:color w:val="000000" w:themeColor="text1"/>
                <w:sz w:val="16"/>
              </w:rPr>
              <w:t xml:space="preserve">Pour de plus amples informations, veuillez consulter le document des PRI intitulé </w:t>
            </w:r>
            <w:hyperlink r:id="rId18" w:history="1">
              <w:proofErr w:type="spellStart"/>
              <w:r>
                <w:rPr>
                  <w:rStyle w:val="Lienhypertexte"/>
                  <w:sz w:val="16"/>
                </w:rPr>
                <w:t>Technical</w:t>
              </w:r>
              <w:proofErr w:type="spellEnd"/>
              <w:r>
                <w:rPr>
                  <w:rStyle w:val="Lienhypertexte"/>
                  <w:sz w:val="16"/>
                </w:rPr>
                <w:t xml:space="preserve"> </w:t>
              </w:r>
              <w:proofErr w:type="spellStart"/>
              <w:r>
                <w:rPr>
                  <w:rStyle w:val="Lienhypertexte"/>
                  <w:sz w:val="16"/>
                </w:rPr>
                <w:t>guide:</w:t>
              </w:r>
            </w:hyperlink>
            <w:hyperlink r:id="rId19" w:history="1">
              <w:r>
                <w:rPr>
                  <w:rStyle w:val="Lienhypertexte"/>
                  <w:sz w:val="16"/>
                </w:rPr>
                <w:t>ESG</w:t>
              </w:r>
              <w:proofErr w:type="spellEnd"/>
              <w:r>
                <w:rPr>
                  <w:rStyle w:val="Lienhypertexte"/>
                  <w:sz w:val="16"/>
                </w:rPr>
                <w:t xml:space="preserve"> incorporation in </w:t>
              </w:r>
              <w:proofErr w:type="spellStart"/>
              <w:r>
                <w:rPr>
                  <w:rStyle w:val="Lienhypertexte"/>
                  <w:sz w:val="16"/>
                </w:rPr>
                <w:t>hedge</w:t>
              </w:r>
              <w:proofErr w:type="spellEnd"/>
              <w:r>
                <w:rPr>
                  <w:rStyle w:val="Lienhypertexte"/>
                  <w:sz w:val="16"/>
                </w:rPr>
                <w:t xml:space="preserve"> </w:t>
              </w:r>
              <w:proofErr w:type="spellStart"/>
              <w:r>
                <w:rPr>
                  <w:rStyle w:val="Lienhypertexte"/>
                  <w:sz w:val="16"/>
                </w:rPr>
                <w:t>funds</w:t>
              </w:r>
              <w:proofErr w:type="spellEnd"/>
              <w:r>
                <w:rPr>
                  <w:rStyle w:val="Lienhypertexte"/>
                  <w:sz w:val="16"/>
                </w:rPr>
                <w:t xml:space="preserve"> (Guide technique</w:t>
              </w:r>
              <w:r w:rsidR="00767929">
                <w:rPr>
                  <w:rStyle w:val="Lienhypertexte"/>
                  <w:sz w:val="16"/>
                </w:rPr>
                <w:t> :</w:t>
              </w:r>
              <w:r>
                <w:rPr>
                  <w:rStyle w:val="Lienhypertexte"/>
                  <w:sz w:val="16"/>
                </w:rPr>
                <w:t xml:space="preserve"> la prise en compte des critères ESG dans les fonds spéculatifs (</w:t>
              </w:r>
              <w:proofErr w:type="spellStart"/>
              <w:r>
                <w:rPr>
                  <w:rStyle w:val="Lienhypertexte"/>
                  <w:i/>
                  <w:iCs/>
                  <w:sz w:val="16"/>
                </w:rPr>
                <w:t>hedge</w:t>
              </w:r>
              <w:proofErr w:type="spellEnd"/>
              <w:r>
                <w:rPr>
                  <w:rStyle w:val="Lienhypertexte"/>
                  <w:i/>
                  <w:iCs/>
                  <w:sz w:val="16"/>
                </w:rPr>
                <w:t xml:space="preserve"> </w:t>
              </w:r>
              <w:proofErr w:type="spellStart"/>
              <w:r>
                <w:rPr>
                  <w:rStyle w:val="Lienhypertexte"/>
                  <w:i/>
                  <w:iCs/>
                  <w:sz w:val="16"/>
                </w:rPr>
                <w:t>funds</w:t>
              </w:r>
              <w:proofErr w:type="spellEnd"/>
              <w:r>
                <w:rPr>
                  <w:rStyle w:val="Lienhypertexte"/>
                  <w:sz w:val="16"/>
                </w:rPr>
                <w:t>))</w:t>
              </w:r>
            </w:hyperlink>
            <w:r>
              <w:rPr>
                <w:rStyle w:val="Lienhypertexte"/>
                <w:color w:val="auto"/>
                <w:sz w:val="16"/>
              </w:rPr>
              <w:t>,</w:t>
            </w:r>
            <w:r>
              <w:rPr>
                <w:rStyle w:val="Lienhypertexte"/>
                <w:color w:val="000000" w:themeColor="text1"/>
                <w:sz w:val="16"/>
              </w:rPr>
              <w:t xml:space="preserve"> qui fournit un cadre aux sociétés de gestion pour prendre en compte les critères ESG majeurs dans les stratégies relatives aux fonds spéculatifs.</w:t>
            </w:r>
          </w:p>
        </w:tc>
      </w:tr>
      <w:tr w:rsidR="00671AF7" w:rsidRPr="003058F5" w14:paraId="34BDD2EA" w14:textId="77777777" w:rsidTr="00F15919">
        <w:trPr>
          <w:gridAfter w:val="1"/>
          <w:wAfter w:w="8" w:type="dxa"/>
          <w:trHeight w:val="300"/>
        </w:trPr>
        <w:tc>
          <w:tcPr>
            <w:tcW w:w="14884" w:type="dxa"/>
            <w:gridSpan w:val="7"/>
            <w:shd w:val="clear" w:color="auto" w:fill="0070C0"/>
            <w:vAlign w:val="center"/>
          </w:tcPr>
          <w:p w14:paraId="473AC5AA" w14:textId="36143616" w:rsidR="00671AF7" w:rsidRPr="003058F5" w:rsidRDefault="00671AF7" w:rsidP="00B24057">
            <w:pPr>
              <w:rPr>
                <w:color w:val="FFFFFF" w:themeColor="background1"/>
                <w:sz w:val="16"/>
                <w:szCs w:val="16"/>
              </w:rPr>
            </w:pPr>
            <w:r>
              <w:rPr>
                <w:b/>
                <w:color w:val="FFFFFF" w:themeColor="background1"/>
                <w:sz w:val="18"/>
              </w:rPr>
              <w:t>Logique</w:t>
            </w:r>
          </w:p>
        </w:tc>
      </w:tr>
      <w:tr w:rsidR="00671AF7" w:rsidRPr="003058F5" w14:paraId="443B4ACF" w14:textId="77777777" w:rsidTr="00F15919">
        <w:trPr>
          <w:gridAfter w:val="1"/>
          <w:wAfter w:w="8" w:type="dxa"/>
          <w:trHeight w:val="300"/>
        </w:trPr>
        <w:tc>
          <w:tcPr>
            <w:tcW w:w="1841" w:type="dxa"/>
            <w:shd w:val="clear" w:color="auto" w:fill="auto"/>
            <w:vAlign w:val="center"/>
          </w:tcPr>
          <w:p w14:paraId="715131C6" w14:textId="77777777" w:rsidR="00671AF7" w:rsidRPr="003058F5" w:rsidRDefault="00671AF7" w:rsidP="00B24057">
            <w:pPr>
              <w:rPr>
                <w:b/>
                <w:bCs/>
                <w:sz w:val="16"/>
                <w:szCs w:val="16"/>
              </w:rPr>
            </w:pPr>
            <w:r>
              <w:rPr>
                <w:b/>
                <w:sz w:val="16"/>
              </w:rPr>
              <w:t>Lien avec</w:t>
            </w:r>
          </w:p>
        </w:tc>
        <w:tc>
          <w:tcPr>
            <w:tcW w:w="13043" w:type="dxa"/>
            <w:gridSpan w:val="6"/>
            <w:shd w:val="clear" w:color="auto" w:fill="auto"/>
            <w:vAlign w:val="center"/>
          </w:tcPr>
          <w:p w14:paraId="52EF5FCE" w14:textId="41CDA674" w:rsidR="00671AF7" w:rsidRPr="003058F5" w:rsidRDefault="004D5848" w:rsidP="00B24057">
            <w:pPr>
              <w:rPr>
                <w:color w:val="000000" w:themeColor="text1"/>
                <w:sz w:val="16"/>
                <w:szCs w:val="16"/>
              </w:rPr>
            </w:pPr>
            <w:r>
              <w:rPr>
                <w:color w:val="000000" w:themeColor="text1"/>
                <w:sz w:val="16"/>
              </w:rPr>
              <w:t>[OO 21]</w:t>
            </w:r>
          </w:p>
        </w:tc>
      </w:tr>
      <w:tr w:rsidR="00671AF7" w:rsidRPr="003058F5" w14:paraId="57C2D6F0" w14:textId="77777777" w:rsidTr="00F15919">
        <w:trPr>
          <w:gridAfter w:val="1"/>
          <w:wAfter w:w="8" w:type="dxa"/>
          <w:trHeight w:val="300"/>
        </w:trPr>
        <w:tc>
          <w:tcPr>
            <w:tcW w:w="1841" w:type="dxa"/>
            <w:shd w:val="clear" w:color="auto" w:fill="auto"/>
            <w:vAlign w:val="center"/>
          </w:tcPr>
          <w:p w14:paraId="31B1D366" w14:textId="77777777" w:rsidR="00671AF7" w:rsidRPr="003058F5" w:rsidRDefault="00671AF7" w:rsidP="00B24057">
            <w:pPr>
              <w:rPr>
                <w:b/>
                <w:bCs/>
                <w:sz w:val="16"/>
                <w:szCs w:val="16"/>
              </w:rPr>
            </w:pPr>
            <w:r>
              <w:rPr>
                <w:b/>
                <w:sz w:val="16"/>
              </w:rPr>
              <w:t>Accès à</w:t>
            </w:r>
          </w:p>
        </w:tc>
        <w:tc>
          <w:tcPr>
            <w:tcW w:w="13043" w:type="dxa"/>
            <w:gridSpan w:val="6"/>
            <w:shd w:val="clear" w:color="auto" w:fill="auto"/>
            <w:vAlign w:val="center"/>
          </w:tcPr>
          <w:p w14:paraId="0E07AEA0" w14:textId="0E3BC0AC" w:rsidR="00671AF7" w:rsidRPr="003058F5" w:rsidRDefault="00573C9E" w:rsidP="00B24057">
            <w:pPr>
              <w:rPr>
                <w:color w:val="000000" w:themeColor="text1"/>
                <w:sz w:val="16"/>
                <w:szCs w:val="16"/>
              </w:rPr>
            </w:pPr>
            <w:r>
              <w:rPr>
                <w:color w:val="000000" w:themeColor="text1"/>
                <w:sz w:val="16"/>
              </w:rPr>
              <w:t>Sans objet</w:t>
            </w:r>
          </w:p>
        </w:tc>
      </w:tr>
      <w:tr w:rsidR="00671AF7" w:rsidRPr="003058F5" w14:paraId="254C0B45" w14:textId="77777777" w:rsidTr="00F15919">
        <w:trPr>
          <w:gridAfter w:val="1"/>
          <w:wAfter w:w="8" w:type="dxa"/>
          <w:trHeight w:val="300"/>
        </w:trPr>
        <w:tc>
          <w:tcPr>
            <w:tcW w:w="14884" w:type="dxa"/>
            <w:gridSpan w:val="7"/>
            <w:shd w:val="clear" w:color="auto" w:fill="0070C0"/>
            <w:vAlign w:val="center"/>
          </w:tcPr>
          <w:p w14:paraId="68BC9279" w14:textId="77777777" w:rsidR="00671AF7" w:rsidRPr="003058F5" w:rsidRDefault="00671AF7" w:rsidP="00B24057">
            <w:pPr>
              <w:rPr>
                <w:rFonts w:eastAsia="Times New Roman" w:cs="Arial"/>
                <w:b/>
                <w:bCs/>
                <w:color w:val="FFFFFF" w:themeColor="background1"/>
                <w:sz w:val="18"/>
                <w:szCs w:val="18"/>
              </w:rPr>
            </w:pPr>
            <w:r>
              <w:rPr>
                <w:b/>
                <w:color w:val="FFFFFF" w:themeColor="background1"/>
                <w:sz w:val="18"/>
              </w:rPr>
              <w:t>Évaluation</w:t>
            </w:r>
          </w:p>
        </w:tc>
      </w:tr>
      <w:tr w:rsidR="00671AF7" w:rsidRPr="003058F5" w14:paraId="3D179789" w14:textId="77777777" w:rsidTr="000F372F">
        <w:trPr>
          <w:trHeight w:val="354"/>
        </w:trPr>
        <w:tc>
          <w:tcPr>
            <w:tcW w:w="1841" w:type="dxa"/>
            <w:shd w:val="clear" w:color="auto" w:fill="auto"/>
            <w:vAlign w:val="center"/>
          </w:tcPr>
          <w:p w14:paraId="71590B56" w14:textId="77777777" w:rsidR="00671AF7" w:rsidRPr="003058F5" w:rsidRDefault="00671AF7" w:rsidP="00B24057">
            <w:pPr>
              <w:rPr>
                <w:b/>
                <w:sz w:val="16"/>
                <w:szCs w:val="16"/>
              </w:rPr>
            </w:pPr>
            <w:r>
              <w:rPr>
                <w:b/>
                <w:sz w:val="16"/>
              </w:rPr>
              <w:t>Critères d'évaluation</w:t>
            </w:r>
          </w:p>
        </w:tc>
        <w:tc>
          <w:tcPr>
            <w:tcW w:w="8791" w:type="dxa"/>
            <w:gridSpan w:val="3"/>
            <w:shd w:val="clear" w:color="auto" w:fill="auto"/>
            <w:vAlign w:val="center"/>
          </w:tcPr>
          <w:p w14:paraId="3B988E6C" w14:textId="77777777" w:rsidR="000F372F" w:rsidRPr="003058F5" w:rsidRDefault="000F372F" w:rsidP="00306E1D">
            <w:pPr>
              <w:rPr>
                <w:rStyle w:val="Lienhypertexte"/>
                <w:color w:val="000000" w:themeColor="text1"/>
                <w:sz w:val="16"/>
                <w:szCs w:val="16"/>
              </w:rPr>
            </w:pPr>
            <w:r>
              <w:rPr>
                <w:rStyle w:val="Lienhypertexte"/>
                <w:color w:val="000000" w:themeColor="text1"/>
                <w:sz w:val="16"/>
              </w:rPr>
              <w:t>100 points pour cet indicateur.</w:t>
            </w:r>
          </w:p>
          <w:p w14:paraId="669CA956" w14:textId="77777777" w:rsidR="000F372F" w:rsidRPr="003058F5" w:rsidRDefault="000F372F" w:rsidP="00306E1D">
            <w:pPr>
              <w:rPr>
                <w:rStyle w:val="Lienhypertexte"/>
                <w:color w:val="000000" w:themeColor="text1"/>
                <w:sz w:val="16"/>
                <w:szCs w:val="16"/>
              </w:rPr>
            </w:pPr>
          </w:p>
          <w:p w14:paraId="23193BDC" w14:textId="7CF371DF" w:rsidR="000F372F" w:rsidRPr="003058F5" w:rsidRDefault="000F372F" w:rsidP="00306E1D">
            <w:pPr>
              <w:rPr>
                <w:rStyle w:val="Lienhypertexte"/>
                <w:color w:val="000000" w:themeColor="text1"/>
                <w:sz w:val="16"/>
                <w:szCs w:val="16"/>
              </w:rPr>
            </w:pPr>
            <w:r>
              <w:rPr>
                <w:rStyle w:val="Lienhypertexte"/>
                <w:color w:val="000000" w:themeColor="text1"/>
                <w:sz w:val="16"/>
              </w:rPr>
              <w:t>100 points pour au moins 4 réponses cochées parmi les options A à G.</w:t>
            </w:r>
          </w:p>
          <w:p w14:paraId="56052282" w14:textId="01763DFA" w:rsidR="000F372F" w:rsidRPr="003058F5" w:rsidRDefault="000F372F" w:rsidP="00306E1D">
            <w:pPr>
              <w:rPr>
                <w:rStyle w:val="Lienhypertexte"/>
                <w:color w:val="000000" w:themeColor="text1"/>
                <w:sz w:val="16"/>
                <w:szCs w:val="16"/>
              </w:rPr>
            </w:pPr>
            <w:r>
              <w:rPr>
                <w:rStyle w:val="Lienhypertexte"/>
                <w:color w:val="000000" w:themeColor="text1"/>
                <w:sz w:val="16"/>
              </w:rPr>
              <w:t>66 points pour 3 réponses cochées parmi les options A à G.</w:t>
            </w:r>
          </w:p>
          <w:p w14:paraId="3C6BFC7C" w14:textId="606413B0" w:rsidR="000F372F" w:rsidRPr="003058F5" w:rsidRDefault="000F372F" w:rsidP="000F372F">
            <w:pPr>
              <w:rPr>
                <w:rStyle w:val="Lienhypertexte"/>
                <w:color w:val="000000" w:themeColor="text1"/>
                <w:sz w:val="16"/>
                <w:szCs w:val="16"/>
              </w:rPr>
            </w:pPr>
            <w:r>
              <w:rPr>
                <w:rStyle w:val="Lienhypertexte"/>
                <w:color w:val="000000" w:themeColor="text1"/>
                <w:sz w:val="16"/>
              </w:rPr>
              <w:t>33 points pour 2 réponses cochées parmi les options A à G.</w:t>
            </w:r>
          </w:p>
          <w:p w14:paraId="466721BF" w14:textId="0CAEC380" w:rsidR="000F372F" w:rsidRPr="003058F5" w:rsidRDefault="000F372F" w:rsidP="00306E1D">
            <w:pPr>
              <w:rPr>
                <w:rStyle w:val="Lienhypertexte"/>
                <w:color w:val="000000" w:themeColor="text1"/>
                <w:sz w:val="16"/>
                <w:szCs w:val="16"/>
              </w:rPr>
            </w:pPr>
            <w:r>
              <w:rPr>
                <w:rStyle w:val="Lienhypertexte"/>
                <w:color w:val="000000" w:themeColor="text1"/>
                <w:sz w:val="16"/>
              </w:rPr>
              <w:t xml:space="preserve">0 point pour 1 réponse cochée parmi les options A à G </w:t>
            </w:r>
            <w:r>
              <w:rPr>
                <w:rStyle w:val="Lienhypertexte"/>
                <w:b/>
                <w:color w:val="000000" w:themeColor="text1"/>
                <w:sz w:val="16"/>
              </w:rPr>
              <w:t>OU</w:t>
            </w:r>
            <w:r>
              <w:rPr>
                <w:rStyle w:val="Lienhypertexte"/>
                <w:color w:val="000000" w:themeColor="text1"/>
                <w:sz w:val="16"/>
              </w:rPr>
              <w:t xml:space="preserve"> l’option H.</w:t>
            </w:r>
          </w:p>
        </w:tc>
        <w:tc>
          <w:tcPr>
            <w:tcW w:w="4252" w:type="dxa"/>
            <w:gridSpan w:val="4"/>
            <w:shd w:val="clear" w:color="auto" w:fill="auto"/>
            <w:vAlign w:val="center"/>
          </w:tcPr>
          <w:p w14:paraId="04A8888A" w14:textId="209D40C7" w:rsidR="000F372F" w:rsidRPr="003058F5" w:rsidRDefault="000F372F" w:rsidP="000F372F">
            <w:pPr>
              <w:rPr>
                <w:rStyle w:val="Lienhypertexte"/>
                <w:color w:val="auto"/>
                <w:sz w:val="16"/>
                <w:szCs w:val="16"/>
              </w:rPr>
            </w:pPr>
            <w:r>
              <w:rPr>
                <w:rStyle w:val="Lienhypertexte"/>
                <w:color w:val="auto"/>
                <w:sz w:val="16"/>
              </w:rPr>
              <w:t>Autres informations</w:t>
            </w:r>
            <w:r w:rsidR="00767929">
              <w:rPr>
                <w:rStyle w:val="Lienhypertexte"/>
                <w:color w:val="auto"/>
                <w:sz w:val="16"/>
              </w:rPr>
              <w:t> :</w:t>
            </w:r>
          </w:p>
          <w:p w14:paraId="508ABE72" w14:textId="77777777" w:rsidR="000F372F" w:rsidRPr="003058F5" w:rsidRDefault="000F372F" w:rsidP="000F372F">
            <w:pPr>
              <w:rPr>
                <w:rStyle w:val="Lienhypertexte"/>
                <w:color w:val="auto"/>
                <w:sz w:val="16"/>
                <w:szCs w:val="16"/>
              </w:rPr>
            </w:pPr>
          </w:p>
          <w:p w14:paraId="0014E811" w14:textId="3CDB4AB2" w:rsidR="00671AF7" w:rsidRPr="003058F5" w:rsidRDefault="00386F8F">
            <w:pPr>
              <w:rPr>
                <w:rStyle w:val="Lienhypertexte"/>
                <w:color w:val="000000" w:themeColor="text1"/>
                <w:sz w:val="16"/>
                <w:szCs w:val="16"/>
              </w:rPr>
            </w:pPr>
            <w:r>
              <w:rPr>
                <w:sz w:val="16"/>
              </w:rPr>
              <w:t xml:space="preserve">Si vous sélectionnez </w:t>
            </w:r>
            <w:r w:rsidR="00FC3BD3">
              <w:rPr>
                <w:sz w:val="16"/>
              </w:rPr>
              <w:t>« </w:t>
            </w:r>
            <w:r>
              <w:rPr>
                <w:sz w:val="16"/>
              </w:rPr>
              <w:t>H</w:t>
            </w:r>
            <w:r w:rsidR="00FC3BD3">
              <w:rPr>
                <w:sz w:val="16"/>
              </w:rPr>
              <w:t> »</w:t>
            </w:r>
            <w:r>
              <w:rPr>
                <w:sz w:val="16"/>
              </w:rPr>
              <w:t>, vous obtiendrez une note de 0/100 points pour cet indicateur.</w:t>
            </w:r>
          </w:p>
        </w:tc>
      </w:tr>
      <w:tr w:rsidR="00671AF7" w:rsidRPr="003058F5" w14:paraId="4F2F093D" w14:textId="77777777" w:rsidTr="00F15919">
        <w:trPr>
          <w:gridAfter w:val="1"/>
          <w:wAfter w:w="8" w:type="dxa"/>
          <w:trHeight w:val="300"/>
        </w:trPr>
        <w:tc>
          <w:tcPr>
            <w:tcW w:w="1841" w:type="dxa"/>
            <w:shd w:val="clear" w:color="auto" w:fill="auto"/>
            <w:vAlign w:val="center"/>
          </w:tcPr>
          <w:p w14:paraId="4BBFE184" w14:textId="77777777" w:rsidR="00671AF7" w:rsidRPr="00E06992" w:rsidDel="002635ED" w:rsidRDefault="00671AF7" w:rsidP="00B24057">
            <w:pPr>
              <w:spacing w:line="240" w:lineRule="auto"/>
              <w:rPr>
                <w:b/>
                <w:bCs/>
                <w:sz w:val="16"/>
                <w:szCs w:val="16"/>
              </w:rPr>
            </w:pPr>
            <w:r>
              <w:rPr>
                <w:b/>
                <w:sz w:val="16"/>
              </w:rPr>
              <w:t>Multiplicateur</w:t>
            </w:r>
          </w:p>
        </w:tc>
        <w:tc>
          <w:tcPr>
            <w:tcW w:w="13043" w:type="dxa"/>
            <w:gridSpan w:val="6"/>
            <w:shd w:val="clear" w:color="auto" w:fill="auto"/>
            <w:vAlign w:val="center"/>
          </w:tcPr>
          <w:p w14:paraId="1B3B5B6C" w14:textId="4B0A9756" w:rsidR="00671AF7" w:rsidRPr="00E06992" w:rsidRDefault="00792C36" w:rsidP="00576DBD">
            <w:pPr>
              <w:rPr>
                <w:rStyle w:val="Lienhypertexte"/>
                <w:color w:val="000000" w:themeColor="text1"/>
              </w:rPr>
            </w:pPr>
            <w:r>
              <w:rPr>
                <w:rStyle w:val="Lienhypertexte"/>
                <w:color w:val="000000" w:themeColor="text1"/>
                <w:sz w:val="16"/>
              </w:rPr>
              <w:t xml:space="preserve">Le multiplicateur sera confirmé avant le cycle de </w:t>
            </w:r>
            <w:proofErr w:type="spellStart"/>
            <w:r>
              <w:rPr>
                <w:rStyle w:val="Lienhypertexte"/>
                <w:color w:val="000000" w:themeColor="text1"/>
                <w:sz w:val="16"/>
              </w:rPr>
              <w:t>reporting</w:t>
            </w:r>
            <w:proofErr w:type="spellEnd"/>
            <w:r>
              <w:rPr>
                <w:rStyle w:val="Lienhypertexte"/>
                <w:color w:val="000000" w:themeColor="text1"/>
                <w:sz w:val="16"/>
              </w:rPr>
              <w:t xml:space="preserve"> 2023 qui débutera à la mi-mai.</w:t>
            </w:r>
          </w:p>
        </w:tc>
      </w:tr>
    </w:tbl>
    <w:p w14:paraId="3BF64E2D" w14:textId="77777777" w:rsidR="002D3486" w:rsidRPr="003058F5" w:rsidRDefault="002D3486">
      <w:pPr>
        <w:spacing w:after="160" w:line="259" w:lineRule="auto"/>
      </w:pPr>
      <w:r>
        <w:br w:type="page"/>
      </w:r>
    </w:p>
    <w:p w14:paraId="491275F8" w14:textId="6D71564E" w:rsidR="002D3486" w:rsidRPr="003058F5" w:rsidRDefault="00671D93" w:rsidP="002D3486">
      <w:pPr>
        <w:pStyle w:val="Titre1"/>
      </w:pPr>
      <w:bookmarkStart w:id="9" w:name="_Toc128064101"/>
      <w:r>
        <w:lastRenderedPageBreak/>
        <w:t>Approche générale</w:t>
      </w:r>
      <w:bookmarkEnd w:id="9"/>
    </w:p>
    <w:p w14:paraId="6444980A" w14:textId="3A5A0C99" w:rsidR="002D3486" w:rsidRPr="003058F5" w:rsidRDefault="002D3486" w:rsidP="002D3486">
      <w:pPr>
        <w:pStyle w:val="Titre2"/>
        <w:tabs>
          <w:tab w:val="left" w:pos="12758"/>
        </w:tabs>
        <w:rPr>
          <w:rFonts w:eastAsia="MS PGothic" w:cs="Times New Roman"/>
          <w:caps w:val="0"/>
          <w:color w:val="auto"/>
          <w:sz w:val="20"/>
          <w:szCs w:val="20"/>
        </w:rPr>
      </w:pPr>
      <w:bookmarkStart w:id="10" w:name="_Toc128064102"/>
      <w:r>
        <w:t>Analyse de matérialité [HF 2]</w:t>
      </w:r>
      <w:bookmarkEnd w:id="10"/>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Layout w:type="fixed"/>
        <w:tblCellMar>
          <w:top w:w="57" w:type="dxa"/>
          <w:left w:w="113" w:type="dxa"/>
          <w:bottom w:w="57" w:type="dxa"/>
          <w:right w:w="113" w:type="dxa"/>
        </w:tblCellMar>
        <w:tblLook w:val="04A0" w:firstRow="1" w:lastRow="0" w:firstColumn="1" w:lastColumn="0" w:noHBand="0" w:noVBand="1"/>
      </w:tblPr>
      <w:tblGrid>
        <w:gridCol w:w="6"/>
        <w:gridCol w:w="1802"/>
        <w:gridCol w:w="1387"/>
        <w:gridCol w:w="231"/>
        <w:gridCol w:w="1066"/>
        <w:gridCol w:w="896"/>
        <w:gridCol w:w="401"/>
        <w:gridCol w:w="308"/>
        <w:gridCol w:w="236"/>
        <w:gridCol w:w="754"/>
        <w:gridCol w:w="1297"/>
        <w:gridCol w:w="1297"/>
        <w:gridCol w:w="664"/>
        <w:gridCol w:w="601"/>
        <w:gridCol w:w="31"/>
        <w:gridCol w:w="1297"/>
        <w:gridCol w:w="634"/>
        <w:gridCol w:w="663"/>
        <w:gridCol w:w="1297"/>
        <w:gridCol w:w="8"/>
        <w:gridCol w:w="8"/>
      </w:tblGrid>
      <w:tr w:rsidR="00985480" w:rsidRPr="003058F5" w14:paraId="6687CE79" w14:textId="77777777" w:rsidTr="00A966F3">
        <w:trPr>
          <w:gridAfter w:val="2"/>
          <w:wAfter w:w="16" w:type="dxa"/>
          <w:trHeight w:val="367"/>
        </w:trPr>
        <w:tc>
          <w:tcPr>
            <w:tcW w:w="1808" w:type="dxa"/>
            <w:gridSpan w:val="2"/>
            <w:vMerge w:val="restart"/>
            <w:shd w:val="clear" w:color="auto" w:fill="DFF5F9"/>
            <w:vAlign w:val="center"/>
            <w:hideMark/>
          </w:tcPr>
          <w:p w14:paraId="36899585" w14:textId="77777777" w:rsidR="002D3486" w:rsidRPr="003058F5" w:rsidRDefault="002D3486" w:rsidP="005B6C68">
            <w:pPr>
              <w:spacing w:line="240" w:lineRule="auto"/>
              <w:jc w:val="center"/>
              <w:textAlignment w:val="baseline"/>
              <w:rPr>
                <w:rFonts w:eastAsia="Times New Roman" w:cs="Arial"/>
                <w:b/>
                <w:sz w:val="14"/>
                <w:szCs w:val="14"/>
              </w:rPr>
            </w:pPr>
            <w:r>
              <w:rPr>
                <w:b/>
                <w:sz w:val="14"/>
              </w:rPr>
              <w:t>Identifiant de l’indicateur</w:t>
            </w:r>
          </w:p>
          <w:p w14:paraId="5739D9A5" w14:textId="77777777" w:rsidR="002D3486" w:rsidRPr="003058F5" w:rsidRDefault="002D3486" w:rsidP="005B6C68">
            <w:pPr>
              <w:spacing w:line="240" w:lineRule="auto"/>
              <w:jc w:val="center"/>
              <w:textAlignment w:val="baseline"/>
              <w:rPr>
                <w:rFonts w:eastAsia="Times New Roman" w:cs="Arial"/>
                <w:b/>
                <w:sz w:val="14"/>
                <w:szCs w:val="14"/>
                <w:lang w:eastAsia="en-GB"/>
              </w:rPr>
            </w:pPr>
          </w:p>
          <w:p w14:paraId="615F6FF9" w14:textId="0FBCC699" w:rsidR="002D3486" w:rsidRPr="003058F5" w:rsidRDefault="002D3486" w:rsidP="005B6C68">
            <w:pPr>
              <w:pStyle w:val="Indicatorsubsection"/>
              <w:rPr>
                <w:sz w:val="18"/>
                <w:szCs w:val="18"/>
              </w:rPr>
            </w:pPr>
            <w:bookmarkStart w:id="11" w:name="_Toc128064103"/>
            <w:r>
              <w:t>HF 2</w:t>
            </w:r>
            <w:bookmarkEnd w:id="11"/>
          </w:p>
        </w:tc>
        <w:tc>
          <w:tcPr>
            <w:tcW w:w="1618" w:type="dxa"/>
            <w:gridSpan w:val="2"/>
            <w:shd w:val="clear" w:color="auto" w:fill="DFF5F9"/>
            <w:vAlign w:val="center"/>
            <w:hideMark/>
          </w:tcPr>
          <w:p w14:paraId="255785EA" w14:textId="721FD009" w:rsidR="002D3486" w:rsidRPr="003058F5" w:rsidRDefault="00F61763" w:rsidP="005B6C68">
            <w:pPr>
              <w:spacing w:line="240" w:lineRule="auto"/>
              <w:textAlignment w:val="baseline"/>
              <w:rPr>
                <w:rFonts w:eastAsia="Times New Roman" w:cs="Arial"/>
                <w:sz w:val="14"/>
                <w:szCs w:val="14"/>
              </w:rPr>
            </w:pPr>
            <w:r>
              <w:rPr>
                <w:b/>
                <w:sz w:val="14"/>
              </w:rPr>
              <w:t xml:space="preserve">Lien avec : </w:t>
            </w:r>
          </w:p>
        </w:tc>
        <w:tc>
          <w:tcPr>
            <w:tcW w:w="2907" w:type="dxa"/>
            <w:gridSpan w:val="5"/>
            <w:shd w:val="clear" w:color="auto" w:fill="DFF5F9"/>
            <w:vAlign w:val="center"/>
          </w:tcPr>
          <w:p w14:paraId="29B92F69" w14:textId="705CAC76" w:rsidR="002D3486" w:rsidRPr="003058F5" w:rsidRDefault="00BA61E4" w:rsidP="005B6C68">
            <w:pPr>
              <w:spacing w:line="240" w:lineRule="auto"/>
              <w:textAlignment w:val="baseline"/>
              <w:rPr>
                <w:rFonts w:eastAsia="Times New Roman" w:cs="Arial"/>
                <w:sz w:val="14"/>
                <w:szCs w:val="14"/>
              </w:rPr>
            </w:pPr>
            <w:r>
              <w:rPr>
                <w:b/>
                <w:sz w:val="22"/>
              </w:rPr>
              <w:t>OO 21</w:t>
            </w:r>
          </w:p>
        </w:tc>
        <w:tc>
          <w:tcPr>
            <w:tcW w:w="4613" w:type="dxa"/>
            <w:gridSpan w:val="5"/>
            <w:vMerge w:val="restart"/>
            <w:shd w:val="clear" w:color="auto" w:fill="DFF5F9"/>
            <w:vAlign w:val="center"/>
          </w:tcPr>
          <w:p w14:paraId="405C9AF9" w14:textId="77777777" w:rsidR="002D3486" w:rsidRPr="003058F5" w:rsidRDefault="002D3486" w:rsidP="005B6C68">
            <w:pPr>
              <w:spacing w:line="240" w:lineRule="auto"/>
              <w:jc w:val="center"/>
              <w:textAlignment w:val="baseline"/>
              <w:rPr>
                <w:rFonts w:eastAsia="Times New Roman" w:cs="Arial"/>
                <w:sz w:val="14"/>
                <w:szCs w:val="14"/>
              </w:rPr>
            </w:pPr>
            <w:r>
              <w:rPr>
                <w:b/>
                <w:sz w:val="14"/>
              </w:rPr>
              <w:t>Sous-section</w:t>
            </w:r>
            <w:r>
              <w:rPr>
                <w:sz w:val="14"/>
              </w:rPr>
              <w:t> </w:t>
            </w:r>
          </w:p>
          <w:p w14:paraId="3BB21567" w14:textId="77777777" w:rsidR="002D3486" w:rsidRPr="003058F5" w:rsidRDefault="002D3486" w:rsidP="005B6C68">
            <w:pPr>
              <w:spacing w:line="240" w:lineRule="auto"/>
              <w:jc w:val="center"/>
              <w:textAlignment w:val="baseline"/>
              <w:rPr>
                <w:rFonts w:eastAsia="Times New Roman" w:cs="Arial"/>
                <w:sz w:val="14"/>
                <w:szCs w:val="14"/>
                <w:lang w:eastAsia="en-GB"/>
              </w:rPr>
            </w:pPr>
          </w:p>
          <w:p w14:paraId="39EBED2E" w14:textId="1FE72923" w:rsidR="002D3486" w:rsidRPr="003058F5" w:rsidRDefault="002D3486" w:rsidP="005B6C68">
            <w:pPr>
              <w:jc w:val="center"/>
              <w:rPr>
                <w:sz w:val="18"/>
                <w:szCs w:val="18"/>
              </w:rPr>
            </w:pPr>
            <w:r>
              <w:rPr>
                <w:b/>
                <w:sz w:val="22"/>
              </w:rPr>
              <w:t>Analyse de matérialité</w:t>
            </w:r>
          </w:p>
        </w:tc>
        <w:tc>
          <w:tcPr>
            <w:tcW w:w="1962" w:type="dxa"/>
            <w:gridSpan w:val="3"/>
            <w:vMerge w:val="restart"/>
            <w:shd w:val="clear" w:color="auto" w:fill="DFF5F9"/>
            <w:vAlign w:val="center"/>
            <w:hideMark/>
          </w:tcPr>
          <w:p w14:paraId="2AF6D29B" w14:textId="77777777" w:rsidR="002D3486" w:rsidRPr="003058F5" w:rsidRDefault="002D3486" w:rsidP="005B6C68">
            <w:pPr>
              <w:spacing w:line="240" w:lineRule="auto"/>
              <w:jc w:val="center"/>
              <w:textAlignment w:val="baseline"/>
              <w:rPr>
                <w:rFonts w:eastAsia="Times New Roman" w:cs="Arial"/>
                <w:b/>
                <w:bCs/>
                <w:sz w:val="14"/>
                <w:szCs w:val="14"/>
              </w:rPr>
            </w:pPr>
            <w:r>
              <w:rPr>
                <w:b/>
                <w:sz w:val="14"/>
              </w:rPr>
              <w:t>Principe des PRI</w:t>
            </w:r>
          </w:p>
          <w:p w14:paraId="59FA566E" w14:textId="77777777" w:rsidR="002D3486" w:rsidRPr="003058F5" w:rsidRDefault="002D3486" w:rsidP="005B6C68">
            <w:pPr>
              <w:spacing w:line="240" w:lineRule="auto"/>
              <w:jc w:val="center"/>
              <w:textAlignment w:val="baseline"/>
              <w:rPr>
                <w:rFonts w:eastAsia="Times New Roman" w:cs="Arial"/>
                <w:b/>
                <w:bCs/>
                <w:sz w:val="14"/>
                <w:szCs w:val="14"/>
                <w:lang w:eastAsia="en-GB"/>
              </w:rPr>
            </w:pPr>
          </w:p>
          <w:p w14:paraId="73D296CB" w14:textId="04E1367F" w:rsidR="002D3486" w:rsidRPr="003058F5" w:rsidRDefault="002D3486" w:rsidP="005B6C68">
            <w:pPr>
              <w:spacing w:line="240" w:lineRule="auto"/>
              <w:jc w:val="center"/>
              <w:textAlignment w:val="baseline"/>
              <w:rPr>
                <w:rFonts w:eastAsia="Times New Roman" w:cs="Arial"/>
                <w:sz w:val="18"/>
                <w:szCs w:val="18"/>
              </w:rPr>
            </w:pPr>
            <w:r>
              <w:rPr>
                <w:b/>
                <w:sz w:val="22"/>
              </w:rPr>
              <w:t>1</w:t>
            </w:r>
          </w:p>
        </w:tc>
        <w:tc>
          <w:tcPr>
            <w:tcW w:w="1960" w:type="dxa"/>
            <w:gridSpan w:val="2"/>
            <w:vMerge w:val="restart"/>
            <w:shd w:val="clear" w:color="auto" w:fill="00B0F0"/>
            <w:tcMar>
              <w:top w:w="113" w:type="dxa"/>
              <w:left w:w="113" w:type="dxa"/>
              <w:bottom w:w="113" w:type="dxa"/>
              <w:right w:w="113" w:type="dxa"/>
            </w:tcMar>
            <w:vAlign w:val="center"/>
            <w:hideMark/>
          </w:tcPr>
          <w:p w14:paraId="70EFEBF8" w14:textId="77777777" w:rsidR="002D3486" w:rsidRPr="003058F5" w:rsidRDefault="002D3486" w:rsidP="005B6C68">
            <w:pPr>
              <w:spacing w:line="240" w:lineRule="auto"/>
              <w:jc w:val="center"/>
              <w:textAlignment w:val="baseline"/>
              <w:rPr>
                <w:rFonts w:eastAsia="Times New Roman" w:cs="Arial"/>
                <w:b/>
                <w:bCs/>
                <w:color w:val="FFFFFF" w:themeColor="background1"/>
                <w:sz w:val="14"/>
                <w:szCs w:val="14"/>
              </w:rPr>
            </w:pPr>
            <w:r>
              <w:rPr>
                <w:b/>
                <w:color w:val="FFFFFF" w:themeColor="background1"/>
                <w:sz w:val="14"/>
              </w:rPr>
              <w:t>Type d'indicateur</w:t>
            </w:r>
          </w:p>
          <w:p w14:paraId="3F3C7D9C" w14:textId="77777777" w:rsidR="002D3486" w:rsidRPr="003058F5" w:rsidRDefault="002D3486" w:rsidP="005B6C68">
            <w:pPr>
              <w:spacing w:line="240" w:lineRule="auto"/>
              <w:jc w:val="center"/>
              <w:textAlignment w:val="baseline"/>
              <w:rPr>
                <w:rFonts w:eastAsia="Times New Roman" w:cs="Arial"/>
                <w:b/>
                <w:bCs/>
                <w:color w:val="FFFFFF" w:themeColor="background1"/>
                <w:sz w:val="14"/>
                <w:szCs w:val="14"/>
                <w:lang w:eastAsia="en-GB"/>
              </w:rPr>
            </w:pPr>
          </w:p>
          <w:p w14:paraId="0EAB8E89" w14:textId="77777777" w:rsidR="002D3486" w:rsidRPr="003058F5" w:rsidRDefault="002D3486" w:rsidP="005B6C68">
            <w:pPr>
              <w:autoSpaceDE w:val="0"/>
              <w:autoSpaceDN w:val="0"/>
              <w:adjustRightInd w:val="0"/>
              <w:spacing w:line="240" w:lineRule="auto"/>
              <w:jc w:val="center"/>
              <w:rPr>
                <w:rFonts w:eastAsia="Times New Roman" w:cs="Arial"/>
                <w:color w:val="FFFFFF" w:themeColor="background1"/>
                <w:sz w:val="32"/>
                <w:szCs w:val="32"/>
              </w:rPr>
            </w:pPr>
            <w:r>
              <w:rPr>
                <w:b/>
                <w:color w:val="FFFFFF" w:themeColor="background1"/>
                <w:sz w:val="32"/>
              </w:rPr>
              <w:t>CORE</w:t>
            </w:r>
          </w:p>
        </w:tc>
      </w:tr>
      <w:tr w:rsidR="00985480" w:rsidRPr="003058F5" w14:paraId="04A306F0" w14:textId="77777777" w:rsidTr="00A966F3">
        <w:trPr>
          <w:gridAfter w:val="2"/>
          <w:wAfter w:w="16" w:type="dxa"/>
          <w:trHeight w:val="367"/>
        </w:trPr>
        <w:tc>
          <w:tcPr>
            <w:tcW w:w="1808" w:type="dxa"/>
            <w:gridSpan w:val="2"/>
            <w:vMerge/>
            <w:vAlign w:val="center"/>
          </w:tcPr>
          <w:p w14:paraId="0308D459" w14:textId="77777777" w:rsidR="002D3486" w:rsidRPr="003058F5" w:rsidRDefault="002D3486" w:rsidP="005B6C68">
            <w:pPr>
              <w:spacing w:line="240" w:lineRule="auto"/>
              <w:jc w:val="center"/>
              <w:textAlignment w:val="baseline"/>
              <w:rPr>
                <w:rFonts w:eastAsia="Times New Roman" w:cs="Arial"/>
                <w:b/>
                <w:sz w:val="14"/>
                <w:szCs w:val="14"/>
                <w:lang w:eastAsia="en-GB"/>
              </w:rPr>
            </w:pPr>
          </w:p>
        </w:tc>
        <w:tc>
          <w:tcPr>
            <w:tcW w:w="1618" w:type="dxa"/>
            <w:gridSpan w:val="2"/>
            <w:shd w:val="clear" w:color="auto" w:fill="DFF5F9"/>
            <w:vAlign w:val="center"/>
          </w:tcPr>
          <w:p w14:paraId="04C70C63" w14:textId="0221E009" w:rsidR="002D3486" w:rsidRPr="003058F5" w:rsidRDefault="002D3486" w:rsidP="005B6C68">
            <w:pPr>
              <w:spacing w:line="240" w:lineRule="auto"/>
              <w:textAlignment w:val="baseline"/>
              <w:rPr>
                <w:rFonts w:eastAsia="Times New Roman" w:cs="Arial"/>
                <w:b/>
                <w:sz w:val="14"/>
                <w:szCs w:val="14"/>
              </w:rPr>
            </w:pPr>
            <w:r>
              <w:rPr>
                <w:b/>
                <w:sz w:val="14"/>
              </w:rPr>
              <w:t>Accès à</w:t>
            </w:r>
            <w:r w:rsidR="00767929">
              <w:rPr>
                <w:b/>
                <w:sz w:val="14"/>
              </w:rPr>
              <w:t> :</w:t>
            </w:r>
          </w:p>
        </w:tc>
        <w:tc>
          <w:tcPr>
            <w:tcW w:w="2907" w:type="dxa"/>
            <w:gridSpan w:val="5"/>
            <w:shd w:val="clear" w:color="auto" w:fill="DFF5F9"/>
            <w:vAlign w:val="center"/>
          </w:tcPr>
          <w:p w14:paraId="6332F254" w14:textId="53BCB1CC" w:rsidR="002D3486" w:rsidRPr="003058F5" w:rsidRDefault="00166ADC" w:rsidP="005B6C68">
            <w:pPr>
              <w:spacing w:line="240" w:lineRule="auto"/>
              <w:textAlignment w:val="baseline"/>
              <w:rPr>
                <w:rFonts w:eastAsia="Times New Roman" w:cs="Arial"/>
                <w:b/>
                <w:sz w:val="14"/>
                <w:szCs w:val="14"/>
              </w:rPr>
            </w:pPr>
            <w:r>
              <w:rPr>
                <w:b/>
                <w:sz w:val="22"/>
              </w:rPr>
              <w:t>Sans objet</w:t>
            </w:r>
          </w:p>
        </w:tc>
        <w:tc>
          <w:tcPr>
            <w:tcW w:w="4613" w:type="dxa"/>
            <w:gridSpan w:val="5"/>
            <w:vMerge/>
            <w:vAlign w:val="center"/>
          </w:tcPr>
          <w:p w14:paraId="34877279" w14:textId="77777777" w:rsidR="002D3486" w:rsidRPr="003058F5" w:rsidRDefault="002D3486" w:rsidP="005B6C68">
            <w:pPr>
              <w:spacing w:line="240" w:lineRule="auto"/>
              <w:jc w:val="center"/>
              <w:textAlignment w:val="baseline"/>
              <w:rPr>
                <w:rFonts w:eastAsia="Times New Roman" w:cs="Arial"/>
                <w:b/>
                <w:sz w:val="14"/>
                <w:szCs w:val="14"/>
                <w:lang w:eastAsia="en-GB"/>
              </w:rPr>
            </w:pPr>
          </w:p>
        </w:tc>
        <w:tc>
          <w:tcPr>
            <w:tcW w:w="1962" w:type="dxa"/>
            <w:gridSpan w:val="3"/>
            <w:vMerge/>
            <w:vAlign w:val="center"/>
          </w:tcPr>
          <w:p w14:paraId="4B3F6113" w14:textId="77777777" w:rsidR="002D3486" w:rsidRPr="003058F5" w:rsidRDefault="002D3486" w:rsidP="005B6C68">
            <w:pPr>
              <w:spacing w:line="240" w:lineRule="auto"/>
              <w:jc w:val="center"/>
              <w:textAlignment w:val="baseline"/>
              <w:rPr>
                <w:rFonts w:eastAsia="Times New Roman" w:cs="Arial"/>
                <w:b/>
                <w:bCs/>
                <w:sz w:val="14"/>
                <w:szCs w:val="14"/>
                <w:lang w:eastAsia="en-GB"/>
              </w:rPr>
            </w:pPr>
          </w:p>
        </w:tc>
        <w:tc>
          <w:tcPr>
            <w:tcW w:w="1960" w:type="dxa"/>
            <w:gridSpan w:val="2"/>
            <w:vMerge/>
            <w:tcMar>
              <w:top w:w="113" w:type="dxa"/>
              <w:left w:w="113" w:type="dxa"/>
              <w:bottom w:w="113" w:type="dxa"/>
              <w:right w:w="113" w:type="dxa"/>
            </w:tcMar>
            <w:vAlign w:val="center"/>
          </w:tcPr>
          <w:p w14:paraId="597BFCED" w14:textId="77777777" w:rsidR="002D3486" w:rsidRPr="003058F5" w:rsidRDefault="002D3486" w:rsidP="005B6C68">
            <w:pPr>
              <w:spacing w:line="240" w:lineRule="auto"/>
              <w:jc w:val="center"/>
              <w:textAlignment w:val="baseline"/>
              <w:rPr>
                <w:rFonts w:eastAsia="Times New Roman" w:cs="Arial"/>
                <w:b/>
                <w:bCs/>
                <w:color w:val="FFFFFF" w:themeColor="background1"/>
                <w:sz w:val="14"/>
                <w:szCs w:val="14"/>
                <w:lang w:eastAsia="en-GB"/>
              </w:rPr>
            </w:pPr>
          </w:p>
        </w:tc>
      </w:tr>
      <w:tr w:rsidR="002D3486" w:rsidRPr="003058F5" w14:paraId="2EF67E00" w14:textId="77777777" w:rsidTr="00F15919">
        <w:trPr>
          <w:gridAfter w:val="2"/>
          <w:wAfter w:w="16" w:type="dxa"/>
          <w:trHeight w:val="567"/>
        </w:trPr>
        <w:tc>
          <w:tcPr>
            <w:tcW w:w="14868" w:type="dxa"/>
            <w:gridSpan w:val="19"/>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7D4DDBCF" w14:textId="689C7536" w:rsidR="002D3486" w:rsidRPr="003058F5" w:rsidRDefault="002D3486" w:rsidP="002D3486">
            <w:pPr>
              <w:spacing w:line="276" w:lineRule="auto"/>
              <w:textAlignment w:val="baseline"/>
              <w:rPr>
                <w:rFonts w:eastAsia="Times New Roman" w:cs="Arial"/>
              </w:rPr>
            </w:pPr>
            <w:r>
              <w:rPr>
                <w:b/>
                <w:bCs/>
              </w:rPr>
              <w:t xml:space="preserve">Votre organisation dispose-t-elle d'un processus formel d'investissement permettant d'identifier </w:t>
            </w:r>
            <w:r>
              <w:rPr>
                <w:b/>
              </w:rPr>
              <w:t xml:space="preserve">et de prendre en compte les </w:t>
            </w:r>
            <w:hyperlink r:id="rId20" w:history="1">
              <w:r>
                <w:rPr>
                  <w:rStyle w:val="Lienhypertexte"/>
                  <w:b/>
                </w:rPr>
                <w:t>critères ESG majeurs</w:t>
              </w:r>
            </w:hyperlink>
            <w:r>
              <w:rPr>
                <w:b/>
              </w:rPr>
              <w:t xml:space="preserve"> dans l’ensemble de vos stratégies relatives aux fonds spéculatifs</w:t>
            </w:r>
            <w:r w:rsidR="00767929">
              <w:rPr>
                <w:b/>
              </w:rPr>
              <w:t> ?</w:t>
            </w:r>
          </w:p>
        </w:tc>
      </w:tr>
      <w:tr w:rsidR="00A93B99" w:rsidRPr="003058F5" w14:paraId="30287DCF" w14:textId="77777777" w:rsidTr="00A966F3">
        <w:trPr>
          <w:gridBefore w:val="1"/>
          <w:wBefore w:w="6" w:type="dxa"/>
          <w:trHeight w:val="23"/>
        </w:trPr>
        <w:tc>
          <w:tcPr>
            <w:tcW w:w="3189" w:type="dxa"/>
            <w:gridSpan w:val="2"/>
            <w:vMerge w:val="restart"/>
            <w:shd w:val="clear" w:color="auto" w:fill="auto"/>
            <w:tcMar>
              <w:top w:w="113" w:type="dxa"/>
              <w:left w:w="113" w:type="dxa"/>
              <w:bottom w:w="113" w:type="dxa"/>
              <w:right w:w="113" w:type="dxa"/>
            </w:tcMar>
            <w:vAlign w:val="center"/>
          </w:tcPr>
          <w:p w14:paraId="3C14953B" w14:textId="77777777" w:rsidR="00265D95" w:rsidRPr="003058F5" w:rsidDel="00711D6D" w:rsidRDefault="00265D95" w:rsidP="00391981">
            <w:pPr>
              <w:spacing w:line="276" w:lineRule="auto"/>
              <w:textAlignment w:val="baseline"/>
              <w:rPr>
                <w:rFonts w:eastAsia="Times New Roman" w:cs="Arial"/>
                <w:szCs w:val="16"/>
                <w:lang w:eastAsia="en-GB"/>
              </w:rPr>
            </w:pPr>
          </w:p>
        </w:tc>
        <w:tc>
          <w:tcPr>
            <w:tcW w:w="11689" w:type="dxa"/>
            <w:gridSpan w:val="18"/>
            <w:shd w:val="clear" w:color="auto" w:fill="F2F2F2" w:themeFill="background1" w:themeFillShade="F2"/>
            <w:vAlign w:val="center"/>
          </w:tcPr>
          <w:p w14:paraId="21A0C814" w14:textId="0881F5E5" w:rsidR="00265D95" w:rsidRPr="003058F5" w:rsidRDefault="00F45A29" w:rsidP="00265D95">
            <w:pPr>
              <w:spacing w:line="276" w:lineRule="auto"/>
              <w:jc w:val="center"/>
              <w:textAlignment w:val="baseline"/>
            </w:pPr>
            <w:r>
              <w:rPr>
                <w:b/>
              </w:rPr>
              <w:t>Stratégies relatives aux fonds spéculatifs gérés en interne</w:t>
            </w:r>
          </w:p>
        </w:tc>
      </w:tr>
      <w:tr w:rsidR="00F94764" w:rsidRPr="003058F5" w14:paraId="31AE98DD" w14:textId="77777777">
        <w:trPr>
          <w:gridBefore w:val="1"/>
          <w:gridAfter w:val="1"/>
          <w:wBefore w:w="6" w:type="dxa"/>
          <w:wAfter w:w="8" w:type="dxa"/>
          <w:trHeight w:val="465"/>
        </w:trPr>
        <w:tc>
          <w:tcPr>
            <w:tcW w:w="3189" w:type="dxa"/>
            <w:gridSpan w:val="2"/>
            <w:vMerge/>
            <w:tcBorders>
              <w:bottom w:val="single" w:sz="6" w:space="0" w:color="A6A6A6" w:themeColor="background1" w:themeShade="A6"/>
            </w:tcBorders>
            <w:shd w:val="clear" w:color="auto" w:fill="auto"/>
            <w:tcMar>
              <w:top w:w="113" w:type="dxa"/>
              <w:left w:w="113" w:type="dxa"/>
              <w:bottom w:w="113" w:type="dxa"/>
              <w:right w:w="113" w:type="dxa"/>
            </w:tcMar>
            <w:vAlign w:val="center"/>
          </w:tcPr>
          <w:p w14:paraId="0F6A3D7E" w14:textId="77777777" w:rsidR="00265D95" w:rsidRPr="003058F5" w:rsidDel="00711D6D" w:rsidRDefault="00265D95" w:rsidP="00391981">
            <w:pPr>
              <w:spacing w:line="276" w:lineRule="auto"/>
              <w:textAlignment w:val="baseline"/>
              <w:rPr>
                <w:rFonts w:eastAsia="Times New Roman" w:cs="Arial"/>
                <w:szCs w:val="16"/>
                <w:lang w:eastAsia="en-GB"/>
              </w:rPr>
            </w:pPr>
          </w:p>
        </w:tc>
        <w:tc>
          <w:tcPr>
            <w:tcW w:w="1297" w:type="dxa"/>
            <w:gridSpan w:val="2"/>
            <w:tcBorders>
              <w:top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0DD77C27" w14:textId="7CC2F64E" w:rsidR="00C55D0D" w:rsidRPr="003058F5" w:rsidRDefault="00C55D0D" w:rsidP="006E73C7">
            <w:pPr>
              <w:spacing w:line="276" w:lineRule="auto"/>
              <w:jc w:val="center"/>
              <w:textAlignment w:val="baseline"/>
              <w:rPr>
                <w:b/>
                <w:sz w:val="18"/>
                <w:szCs w:val="18"/>
              </w:rPr>
            </w:pPr>
            <w:r>
              <w:rPr>
                <w:b/>
                <w:sz w:val="18"/>
              </w:rPr>
              <w:t>Toutes les stratégies</w:t>
            </w:r>
          </w:p>
        </w:tc>
        <w:tc>
          <w:tcPr>
            <w:tcW w:w="1297"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79C5C2E4" w14:textId="2E510C20" w:rsidR="00265D95" w:rsidRPr="00275FD4" w:rsidDel="00711D6D" w:rsidRDefault="00C70A57" w:rsidP="006E73C7">
            <w:pPr>
              <w:spacing w:line="276" w:lineRule="auto"/>
              <w:jc w:val="center"/>
              <w:textAlignment w:val="baseline"/>
              <w:rPr>
                <w:rFonts w:eastAsia="Times New Roman" w:cs="Arial"/>
                <w:b/>
                <w:sz w:val="18"/>
                <w:szCs w:val="18"/>
              </w:rPr>
            </w:pPr>
            <w:r>
              <w:rPr>
                <w:b/>
              </w:rPr>
              <w:t>(1) Multi-stratégies</w:t>
            </w:r>
          </w:p>
        </w:tc>
        <w:tc>
          <w:tcPr>
            <w:tcW w:w="1298"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2D2A6E8" w14:textId="764AF8C5" w:rsidR="00265D95" w:rsidRPr="00275FD4" w:rsidDel="00711D6D" w:rsidRDefault="00C70A57" w:rsidP="006E73C7">
            <w:pPr>
              <w:spacing w:line="276" w:lineRule="auto"/>
              <w:jc w:val="center"/>
              <w:textAlignment w:val="baseline"/>
              <w:rPr>
                <w:rFonts w:eastAsia="Times New Roman" w:cs="Arial"/>
                <w:b/>
                <w:sz w:val="18"/>
                <w:szCs w:val="18"/>
              </w:rPr>
            </w:pPr>
            <w:r>
              <w:rPr>
                <w:b/>
              </w:rPr>
              <w:t>(2) Stratégies long/short actions</w:t>
            </w:r>
          </w:p>
        </w:tc>
        <w:tc>
          <w:tcPr>
            <w:tcW w:w="129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659D258" w14:textId="353692E8" w:rsidR="00265D95" w:rsidRPr="00275FD4" w:rsidDel="00711D6D" w:rsidRDefault="00C70A57" w:rsidP="006E73C7">
            <w:pPr>
              <w:spacing w:line="276" w:lineRule="auto"/>
              <w:jc w:val="center"/>
              <w:textAlignment w:val="baseline"/>
              <w:rPr>
                <w:rFonts w:eastAsia="Times New Roman" w:cs="Arial"/>
                <w:b/>
                <w:sz w:val="18"/>
                <w:szCs w:val="18"/>
              </w:rPr>
            </w:pPr>
            <w:r>
              <w:rPr>
                <w:b/>
              </w:rPr>
              <w:t>(3) Stratégies long/short crédit</w:t>
            </w:r>
          </w:p>
        </w:tc>
        <w:tc>
          <w:tcPr>
            <w:tcW w:w="129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4EE75F6C" w14:textId="39DBA44E" w:rsidR="00265D95" w:rsidRPr="00275FD4" w:rsidDel="00711D6D" w:rsidRDefault="00C70A57" w:rsidP="006E73C7">
            <w:pPr>
              <w:spacing w:line="276" w:lineRule="auto"/>
              <w:jc w:val="center"/>
              <w:textAlignment w:val="baseline"/>
              <w:rPr>
                <w:rFonts w:eastAsia="Times New Roman" w:cs="Arial"/>
                <w:b/>
                <w:sz w:val="18"/>
                <w:szCs w:val="18"/>
              </w:rPr>
            </w:pPr>
            <w:r>
              <w:rPr>
                <w:b/>
              </w:rPr>
              <w:t>(4) Dette décotée (</w:t>
            </w:r>
            <w:proofErr w:type="spellStart"/>
            <w:r>
              <w:rPr>
                <w:b/>
                <w:i/>
                <w:iCs/>
              </w:rPr>
              <w:t>distressed</w:t>
            </w:r>
            <w:proofErr w:type="spellEnd"/>
            <w:r>
              <w:rPr>
                <w:b/>
              </w:rPr>
              <w:t>), situations spéciales et stratégie</w:t>
            </w:r>
            <w:r w:rsidR="0064698E">
              <w:rPr>
                <w:b/>
              </w:rPr>
              <w:t xml:space="preserve"> fondamentale</w:t>
            </w:r>
            <w:r>
              <w:rPr>
                <w:b/>
              </w:rPr>
              <w:t xml:space="preserve"> faisa</w:t>
            </w:r>
            <w:r w:rsidR="0064698E">
              <w:rPr>
                <w:b/>
              </w:rPr>
              <w:t>n</w:t>
            </w:r>
            <w:r>
              <w:rPr>
                <w:b/>
              </w:rPr>
              <w:t>t suite à un événement</w:t>
            </w:r>
          </w:p>
        </w:tc>
        <w:tc>
          <w:tcPr>
            <w:tcW w:w="1296"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1D4489D4" w14:textId="094FA326" w:rsidR="00265D95" w:rsidRPr="00275FD4" w:rsidDel="00711D6D" w:rsidRDefault="00C70A57" w:rsidP="006E73C7">
            <w:pPr>
              <w:spacing w:line="276" w:lineRule="auto"/>
              <w:jc w:val="center"/>
              <w:textAlignment w:val="baseline"/>
              <w:rPr>
                <w:rFonts w:eastAsia="Times New Roman" w:cs="Arial"/>
                <w:b/>
                <w:sz w:val="18"/>
                <w:szCs w:val="18"/>
              </w:rPr>
            </w:pPr>
            <w:r>
              <w:rPr>
                <w:b/>
              </w:rPr>
              <w:t>(5) Crédit structuré</w:t>
            </w:r>
          </w:p>
        </w:tc>
        <w:tc>
          <w:tcPr>
            <w:tcW w:w="129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9684A74" w14:textId="7F84C67C" w:rsidR="00265D95" w:rsidRPr="00275FD4" w:rsidDel="00711D6D" w:rsidRDefault="00C70A57" w:rsidP="006E73C7">
            <w:pPr>
              <w:spacing w:line="276" w:lineRule="auto"/>
              <w:jc w:val="center"/>
              <w:textAlignment w:val="baseline"/>
              <w:rPr>
                <w:rFonts w:eastAsia="Times New Roman" w:cs="Arial"/>
                <w:b/>
                <w:sz w:val="18"/>
                <w:szCs w:val="18"/>
              </w:rPr>
            </w:pPr>
            <w:r>
              <w:rPr>
                <w:b/>
              </w:rPr>
              <w:t xml:space="preserve">(6) Stratégies </w:t>
            </w:r>
            <w:r w:rsidR="00FC3BD3">
              <w:rPr>
                <w:b/>
              </w:rPr>
              <w:t>« </w:t>
            </w:r>
            <w:r>
              <w:rPr>
                <w:b/>
              </w:rPr>
              <w:t>global macro</w:t>
            </w:r>
            <w:r w:rsidR="00FC3BD3">
              <w:rPr>
                <w:b/>
              </w:rPr>
              <w:t> »</w:t>
            </w:r>
          </w:p>
        </w:tc>
        <w:tc>
          <w:tcPr>
            <w:tcW w:w="1297"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0FD2612" w14:textId="6404036E" w:rsidR="00265D95" w:rsidRPr="00275FD4" w:rsidDel="00711D6D" w:rsidRDefault="00C70A57" w:rsidP="006E73C7">
            <w:pPr>
              <w:spacing w:line="276" w:lineRule="auto"/>
              <w:jc w:val="center"/>
              <w:textAlignment w:val="baseline"/>
              <w:rPr>
                <w:rFonts w:eastAsia="Times New Roman" w:cs="Arial"/>
                <w:b/>
                <w:sz w:val="18"/>
                <w:szCs w:val="18"/>
              </w:rPr>
            </w:pPr>
            <w:r>
              <w:rPr>
                <w:b/>
              </w:rPr>
              <w:t>(7) Stratégies de CTA (</w:t>
            </w:r>
            <w:proofErr w:type="spellStart"/>
            <w:r>
              <w:rPr>
                <w:b/>
                <w:i/>
                <w:iCs/>
              </w:rPr>
              <w:t>Commodity</w:t>
            </w:r>
            <w:proofErr w:type="spellEnd"/>
            <w:r>
              <w:rPr>
                <w:b/>
                <w:i/>
                <w:iCs/>
              </w:rPr>
              <w:t xml:space="preserve"> trading </w:t>
            </w:r>
            <w:proofErr w:type="spellStart"/>
            <w:r>
              <w:rPr>
                <w:b/>
                <w:i/>
                <w:iCs/>
              </w:rPr>
              <w:t>advisor</w:t>
            </w:r>
            <w:proofErr w:type="spellEnd"/>
            <w:r>
              <w:rPr>
                <w:b/>
              </w:rPr>
              <w:t>)</w:t>
            </w:r>
          </w:p>
        </w:tc>
        <w:tc>
          <w:tcPr>
            <w:tcW w:w="1305"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416DF075" w14:textId="54403D8F" w:rsidR="00265D95" w:rsidRPr="00275FD4" w:rsidDel="00711D6D" w:rsidRDefault="00C70A57" w:rsidP="006E73C7">
            <w:pPr>
              <w:spacing w:line="276" w:lineRule="auto"/>
              <w:jc w:val="center"/>
              <w:textAlignment w:val="baseline"/>
              <w:rPr>
                <w:rFonts w:eastAsia="Times New Roman" w:cs="Arial"/>
                <w:b/>
                <w:sz w:val="18"/>
                <w:szCs w:val="18"/>
              </w:rPr>
            </w:pPr>
            <w:r>
              <w:rPr>
                <w:b/>
                <w:sz w:val="18"/>
              </w:rPr>
              <w:t>(8) Autres stratégies</w:t>
            </w:r>
          </w:p>
        </w:tc>
      </w:tr>
      <w:tr w:rsidR="00B6789E" w:rsidRPr="003058F5" w14:paraId="336537B3" w14:textId="77777777" w:rsidTr="00F15919">
        <w:trPr>
          <w:gridAfter w:val="2"/>
          <w:wAfter w:w="16" w:type="dxa"/>
          <w:trHeight w:val="465"/>
        </w:trPr>
        <w:tc>
          <w:tcPr>
            <w:tcW w:w="3195"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tcMar>
              <w:top w:w="113" w:type="dxa"/>
              <w:left w:w="113" w:type="dxa"/>
              <w:bottom w:w="113" w:type="dxa"/>
              <w:right w:w="113" w:type="dxa"/>
            </w:tcMar>
            <w:vAlign w:val="center"/>
          </w:tcPr>
          <w:p w14:paraId="6A592BE8" w14:textId="480C047D" w:rsidR="00B66A9B" w:rsidRPr="003058F5" w:rsidDel="00711D6D" w:rsidRDefault="00B66A9B" w:rsidP="00B66A9B">
            <w:pPr>
              <w:spacing w:line="276" w:lineRule="auto"/>
              <w:textAlignment w:val="baseline"/>
              <w:rPr>
                <w:rFonts w:eastAsia="Times New Roman" w:cs="Arial"/>
                <w:szCs w:val="16"/>
              </w:rPr>
            </w:pPr>
            <w:r>
              <w:t xml:space="preserve">(A) Oui, notre processus d'investissement prend en compte les </w:t>
            </w:r>
            <w:hyperlink r:id="rId21" w:history="1">
              <w:r>
                <w:rPr>
                  <w:rStyle w:val="Lienhypertexte"/>
                </w:rPr>
                <w:t>critères de gouvernance</w:t>
              </w:r>
            </w:hyperlink>
            <w:r>
              <w:t xml:space="preserve"> majeurs</w:t>
            </w:r>
          </w:p>
        </w:tc>
        <w:tc>
          <w:tcPr>
            <w:tcW w:w="1297"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68AA80F0" w14:textId="4124D961" w:rsidR="00B66A9B" w:rsidRDefault="00B66A9B" w:rsidP="00B66A9B">
            <w:pPr>
              <w:spacing w:line="276" w:lineRule="auto"/>
              <w:textAlignment w:val="baseline"/>
              <w:rPr>
                <w:rFonts w:eastAsia="Times New Roman" w:cs="Arial"/>
              </w:rPr>
            </w:pPr>
            <w:r>
              <w:t>[Liste déroulante]</w:t>
            </w:r>
          </w:p>
          <w:p w14:paraId="3DB42C17" w14:textId="77777777" w:rsidR="004B0B65" w:rsidRPr="003058F5" w:rsidRDefault="004B0B65" w:rsidP="00B66A9B">
            <w:pPr>
              <w:spacing w:line="276" w:lineRule="auto"/>
              <w:textAlignment w:val="baseline"/>
              <w:rPr>
                <w:rFonts w:eastAsia="Times New Roman" w:cs="Arial"/>
                <w:lang w:eastAsia="en-GB"/>
              </w:rPr>
            </w:pPr>
          </w:p>
          <w:p w14:paraId="70217151" w14:textId="77777777" w:rsidR="00B66A9B" w:rsidRPr="003058F5" w:rsidRDefault="00B66A9B" w:rsidP="00B66A9B">
            <w:pPr>
              <w:spacing w:line="276" w:lineRule="auto"/>
              <w:textAlignment w:val="baseline"/>
              <w:rPr>
                <w:rFonts w:eastAsia="Times New Roman" w:cs="Arial"/>
              </w:rPr>
            </w:pPr>
            <w:r>
              <w:t xml:space="preserve">(1) pour tous nos </w:t>
            </w:r>
            <w:r>
              <w:lastRenderedPageBreak/>
              <w:t>actifs sous gestion</w:t>
            </w:r>
          </w:p>
          <w:p w14:paraId="4E05337A" w14:textId="23BF728B" w:rsidR="00B66A9B" w:rsidRPr="003058F5" w:rsidRDefault="00B66A9B" w:rsidP="00B66A9B">
            <w:pPr>
              <w:spacing w:line="276" w:lineRule="auto"/>
              <w:textAlignment w:val="baseline"/>
              <w:rPr>
                <w:rFonts w:eastAsia="Times New Roman" w:cs="Arial"/>
              </w:rPr>
            </w:pPr>
            <w:r>
              <w:t>(2) pour plus de 50</w:t>
            </w:r>
            <w:r w:rsidR="00767929">
              <w:t> %</w:t>
            </w:r>
            <w:r>
              <w:t xml:space="preserve"> de nos actifs sous gestion</w:t>
            </w:r>
          </w:p>
          <w:p w14:paraId="71C42EA1" w14:textId="0299FCC4" w:rsidR="00B66A9B" w:rsidRPr="003058F5" w:rsidRDefault="00B66A9B" w:rsidP="00F15919">
            <w:pPr>
              <w:spacing w:line="276" w:lineRule="auto"/>
              <w:textAlignment w:val="baseline"/>
            </w:pPr>
            <w:r>
              <w:t>(3) pour moins de 50</w:t>
            </w:r>
            <w:r w:rsidR="00767929">
              <w:t> %</w:t>
            </w:r>
            <w:r>
              <w:t xml:space="preserve"> de nos actifs sous gestion</w:t>
            </w:r>
          </w:p>
        </w:tc>
        <w:tc>
          <w:tcPr>
            <w:tcW w:w="1297"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8643000" w14:textId="25026957" w:rsidR="00B66A9B" w:rsidRDefault="00B66A9B" w:rsidP="00B66A9B">
            <w:pPr>
              <w:spacing w:line="276" w:lineRule="auto"/>
              <w:textAlignment w:val="baseline"/>
              <w:rPr>
                <w:rFonts w:eastAsia="Times New Roman" w:cs="Arial"/>
              </w:rPr>
            </w:pPr>
            <w:r>
              <w:lastRenderedPageBreak/>
              <w:t>[Liste déroulante]</w:t>
            </w:r>
          </w:p>
          <w:p w14:paraId="688FFB68" w14:textId="77777777" w:rsidR="004B0B65" w:rsidRPr="003058F5" w:rsidRDefault="004B0B65" w:rsidP="00B66A9B">
            <w:pPr>
              <w:spacing w:line="276" w:lineRule="auto"/>
              <w:textAlignment w:val="baseline"/>
              <w:rPr>
                <w:rFonts w:eastAsia="Times New Roman" w:cs="Arial"/>
                <w:lang w:eastAsia="en-GB"/>
              </w:rPr>
            </w:pPr>
          </w:p>
          <w:p w14:paraId="76924856" w14:textId="77777777" w:rsidR="00B66A9B" w:rsidRPr="003058F5" w:rsidRDefault="00B66A9B" w:rsidP="00B66A9B">
            <w:pPr>
              <w:spacing w:line="276" w:lineRule="auto"/>
              <w:textAlignment w:val="baseline"/>
              <w:rPr>
                <w:rFonts w:eastAsia="Times New Roman" w:cs="Arial"/>
              </w:rPr>
            </w:pPr>
            <w:r>
              <w:t xml:space="preserve">(1) pour tous nos </w:t>
            </w:r>
            <w:r>
              <w:lastRenderedPageBreak/>
              <w:t>actifs sous gestion</w:t>
            </w:r>
          </w:p>
          <w:p w14:paraId="64EE115D" w14:textId="68829C81" w:rsidR="00B66A9B" w:rsidRPr="003058F5" w:rsidRDefault="00B66A9B" w:rsidP="00B66A9B">
            <w:pPr>
              <w:spacing w:line="276" w:lineRule="auto"/>
              <w:textAlignment w:val="baseline"/>
              <w:rPr>
                <w:rFonts w:eastAsia="Times New Roman" w:cs="Arial"/>
              </w:rPr>
            </w:pPr>
            <w:r>
              <w:t>(2) pour plus de 50</w:t>
            </w:r>
            <w:r w:rsidR="00767929">
              <w:t> %</w:t>
            </w:r>
            <w:r>
              <w:t xml:space="preserve"> de nos actifs sous gestion</w:t>
            </w:r>
          </w:p>
          <w:p w14:paraId="79F65398" w14:textId="75BAEEA2" w:rsidR="00B66A9B" w:rsidRPr="003058F5" w:rsidRDefault="00B66A9B" w:rsidP="00F15919">
            <w:pPr>
              <w:spacing w:line="276" w:lineRule="auto"/>
              <w:textAlignment w:val="baseline"/>
            </w:pPr>
            <w:r>
              <w:t>(3) pour moins de 50</w:t>
            </w:r>
            <w:r w:rsidR="00767929">
              <w:t> %</w:t>
            </w:r>
            <w:r>
              <w:t xml:space="preserve"> de nos actifs sous gestion</w:t>
            </w:r>
          </w:p>
        </w:tc>
        <w:tc>
          <w:tcPr>
            <w:tcW w:w="1298"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1EFD207D" w14:textId="399F227F" w:rsidR="00B66A9B" w:rsidRDefault="00B66A9B" w:rsidP="00B66A9B">
            <w:pPr>
              <w:spacing w:line="276" w:lineRule="auto"/>
              <w:textAlignment w:val="baseline"/>
              <w:rPr>
                <w:rFonts w:eastAsia="Times New Roman" w:cs="Arial"/>
              </w:rPr>
            </w:pPr>
            <w:r>
              <w:lastRenderedPageBreak/>
              <w:t>[Liste déroulante]</w:t>
            </w:r>
          </w:p>
          <w:p w14:paraId="28FB28A5" w14:textId="77777777" w:rsidR="004B0B65" w:rsidRPr="003058F5" w:rsidRDefault="004B0B65" w:rsidP="00B66A9B">
            <w:pPr>
              <w:spacing w:line="276" w:lineRule="auto"/>
              <w:textAlignment w:val="baseline"/>
              <w:rPr>
                <w:rFonts w:eastAsia="Times New Roman" w:cs="Arial"/>
                <w:lang w:eastAsia="en-GB"/>
              </w:rPr>
            </w:pPr>
          </w:p>
          <w:p w14:paraId="6FD418A0" w14:textId="77777777" w:rsidR="00B66A9B" w:rsidRPr="003058F5" w:rsidRDefault="00B66A9B" w:rsidP="00B66A9B">
            <w:pPr>
              <w:spacing w:line="276" w:lineRule="auto"/>
              <w:textAlignment w:val="baseline"/>
              <w:rPr>
                <w:rFonts w:eastAsia="Times New Roman" w:cs="Arial"/>
              </w:rPr>
            </w:pPr>
            <w:r>
              <w:t xml:space="preserve">(1) pour tous nos </w:t>
            </w:r>
            <w:r>
              <w:lastRenderedPageBreak/>
              <w:t>actifs sous gestion</w:t>
            </w:r>
          </w:p>
          <w:p w14:paraId="36C19B53" w14:textId="1F61B1AB" w:rsidR="00B66A9B" w:rsidRPr="003058F5" w:rsidRDefault="00B66A9B" w:rsidP="00B66A9B">
            <w:pPr>
              <w:spacing w:line="276" w:lineRule="auto"/>
              <w:textAlignment w:val="baseline"/>
              <w:rPr>
                <w:rFonts w:eastAsia="Times New Roman" w:cs="Arial"/>
              </w:rPr>
            </w:pPr>
            <w:r>
              <w:t>(2) pour plus de 50</w:t>
            </w:r>
            <w:r w:rsidR="00767929">
              <w:t> %</w:t>
            </w:r>
            <w:r>
              <w:t xml:space="preserve"> de nos actifs sous gestion</w:t>
            </w:r>
          </w:p>
          <w:p w14:paraId="79F1F922" w14:textId="01E9A77F" w:rsidR="00B66A9B" w:rsidRPr="003058F5" w:rsidRDefault="00B66A9B" w:rsidP="00F15919">
            <w:pPr>
              <w:spacing w:line="276" w:lineRule="auto"/>
              <w:textAlignment w:val="baseline"/>
            </w:pPr>
            <w:r>
              <w:t>(3) pour moins de 50</w:t>
            </w:r>
            <w:r w:rsidR="00767929">
              <w:t> %</w:t>
            </w:r>
            <w:r>
              <w:t xml:space="preserve"> de nos actifs sous gestion</w:t>
            </w:r>
          </w:p>
        </w:tc>
        <w:tc>
          <w:tcPr>
            <w:tcW w:w="129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46CC9865" w14:textId="14E3D7D0" w:rsidR="00B66A9B" w:rsidRDefault="00B66A9B" w:rsidP="00B66A9B">
            <w:pPr>
              <w:spacing w:line="276" w:lineRule="auto"/>
              <w:textAlignment w:val="baseline"/>
              <w:rPr>
                <w:rFonts w:eastAsia="Times New Roman" w:cs="Arial"/>
              </w:rPr>
            </w:pPr>
            <w:r>
              <w:lastRenderedPageBreak/>
              <w:t>[Liste déroulante]</w:t>
            </w:r>
          </w:p>
          <w:p w14:paraId="03DAF4F2" w14:textId="77777777" w:rsidR="004B0B65" w:rsidRPr="003058F5" w:rsidRDefault="004B0B65" w:rsidP="00B66A9B">
            <w:pPr>
              <w:spacing w:line="276" w:lineRule="auto"/>
              <w:textAlignment w:val="baseline"/>
              <w:rPr>
                <w:rFonts w:eastAsia="Times New Roman" w:cs="Arial"/>
                <w:lang w:eastAsia="en-GB"/>
              </w:rPr>
            </w:pPr>
          </w:p>
          <w:p w14:paraId="31FF28FE" w14:textId="77777777" w:rsidR="00B66A9B" w:rsidRPr="003058F5" w:rsidRDefault="00B66A9B" w:rsidP="00B66A9B">
            <w:pPr>
              <w:spacing w:line="276" w:lineRule="auto"/>
              <w:textAlignment w:val="baseline"/>
              <w:rPr>
                <w:rFonts w:eastAsia="Times New Roman" w:cs="Arial"/>
              </w:rPr>
            </w:pPr>
            <w:r>
              <w:t xml:space="preserve">(1) pour tous nos </w:t>
            </w:r>
            <w:r>
              <w:lastRenderedPageBreak/>
              <w:t>actifs sous gestion</w:t>
            </w:r>
          </w:p>
          <w:p w14:paraId="24D46AFF" w14:textId="7BCB535A" w:rsidR="00B66A9B" w:rsidRPr="003058F5" w:rsidRDefault="00B66A9B" w:rsidP="00B66A9B">
            <w:pPr>
              <w:spacing w:line="276" w:lineRule="auto"/>
              <w:textAlignment w:val="baseline"/>
              <w:rPr>
                <w:rFonts w:eastAsia="Times New Roman" w:cs="Arial"/>
              </w:rPr>
            </w:pPr>
            <w:r>
              <w:t>(2) pour plus de 50</w:t>
            </w:r>
            <w:r w:rsidR="00767929">
              <w:t> %</w:t>
            </w:r>
            <w:r>
              <w:t xml:space="preserve"> de nos actifs sous gestion</w:t>
            </w:r>
          </w:p>
          <w:p w14:paraId="52EF8490" w14:textId="4249A7F2" w:rsidR="00B66A9B" w:rsidRPr="003058F5" w:rsidRDefault="00B66A9B" w:rsidP="00F15919">
            <w:pPr>
              <w:spacing w:line="276" w:lineRule="auto"/>
              <w:textAlignment w:val="baseline"/>
            </w:pPr>
            <w:r>
              <w:t>(3) pour moins de 50</w:t>
            </w:r>
            <w:r w:rsidR="00767929">
              <w:t> %</w:t>
            </w:r>
            <w:r>
              <w:t xml:space="preserve"> de nos actifs sous gestion</w:t>
            </w:r>
          </w:p>
        </w:tc>
        <w:tc>
          <w:tcPr>
            <w:tcW w:w="129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1634307" w14:textId="31DB750D" w:rsidR="00B66A9B" w:rsidRDefault="00B66A9B" w:rsidP="00B66A9B">
            <w:pPr>
              <w:spacing w:line="276" w:lineRule="auto"/>
              <w:textAlignment w:val="baseline"/>
              <w:rPr>
                <w:rFonts w:eastAsia="Times New Roman" w:cs="Arial"/>
              </w:rPr>
            </w:pPr>
            <w:r>
              <w:lastRenderedPageBreak/>
              <w:t>[Liste déroulante]</w:t>
            </w:r>
          </w:p>
          <w:p w14:paraId="4B264EE9" w14:textId="77777777" w:rsidR="004B0B65" w:rsidRPr="003058F5" w:rsidRDefault="004B0B65" w:rsidP="00B66A9B">
            <w:pPr>
              <w:spacing w:line="276" w:lineRule="auto"/>
              <w:textAlignment w:val="baseline"/>
              <w:rPr>
                <w:rFonts w:eastAsia="Times New Roman" w:cs="Arial"/>
                <w:lang w:eastAsia="en-GB"/>
              </w:rPr>
            </w:pPr>
          </w:p>
          <w:p w14:paraId="380F5AE8" w14:textId="77777777" w:rsidR="00B66A9B" w:rsidRPr="003058F5" w:rsidRDefault="00B66A9B" w:rsidP="00B66A9B">
            <w:pPr>
              <w:spacing w:line="276" w:lineRule="auto"/>
              <w:textAlignment w:val="baseline"/>
              <w:rPr>
                <w:rFonts w:eastAsia="Times New Roman" w:cs="Arial"/>
              </w:rPr>
            </w:pPr>
            <w:r>
              <w:t xml:space="preserve">(1) pour tous nos </w:t>
            </w:r>
            <w:r>
              <w:lastRenderedPageBreak/>
              <w:t>actifs sous gestion</w:t>
            </w:r>
          </w:p>
          <w:p w14:paraId="401F3752" w14:textId="1EBCD040" w:rsidR="00B66A9B" w:rsidRPr="003058F5" w:rsidRDefault="00B66A9B" w:rsidP="00B66A9B">
            <w:pPr>
              <w:spacing w:line="276" w:lineRule="auto"/>
              <w:textAlignment w:val="baseline"/>
              <w:rPr>
                <w:rFonts w:eastAsia="Times New Roman" w:cs="Arial"/>
              </w:rPr>
            </w:pPr>
            <w:r>
              <w:t>(2) pour plus de 50</w:t>
            </w:r>
            <w:r w:rsidR="00767929">
              <w:t> %</w:t>
            </w:r>
            <w:r>
              <w:t xml:space="preserve"> de nos actifs sous gestion</w:t>
            </w:r>
          </w:p>
          <w:p w14:paraId="49BD61DA" w14:textId="4C8DD8DA" w:rsidR="00B66A9B" w:rsidRPr="003058F5" w:rsidRDefault="00B66A9B" w:rsidP="00F15919">
            <w:pPr>
              <w:spacing w:line="276" w:lineRule="auto"/>
              <w:textAlignment w:val="baseline"/>
            </w:pPr>
            <w:r>
              <w:t>(3) pour moins de 50</w:t>
            </w:r>
            <w:r w:rsidR="00767929">
              <w:t> %</w:t>
            </w:r>
            <w:r>
              <w:t xml:space="preserve"> de nos actifs sous gestion</w:t>
            </w:r>
          </w:p>
        </w:tc>
        <w:tc>
          <w:tcPr>
            <w:tcW w:w="1296"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19A76E68" w14:textId="2659A7CD" w:rsidR="00B66A9B" w:rsidRDefault="00B66A9B" w:rsidP="00B66A9B">
            <w:pPr>
              <w:spacing w:line="276" w:lineRule="auto"/>
              <w:textAlignment w:val="baseline"/>
              <w:rPr>
                <w:rFonts w:eastAsia="Times New Roman" w:cs="Arial"/>
              </w:rPr>
            </w:pPr>
            <w:r>
              <w:lastRenderedPageBreak/>
              <w:t>[Liste déroulante]</w:t>
            </w:r>
          </w:p>
          <w:p w14:paraId="588720EA" w14:textId="77777777" w:rsidR="004B0B65" w:rsidRPr="003058F5" w:rsidRDefault="004B0B65" w:rsidP="00B66A9B">
            <w:pPr>
              <w:spacing w:line="276" w:lineRule="auto"/>
              <w:textAlignment w:val="baseline"/>
              <w:rPr>
                <w:rFonts w:eastAsia="Times New Roman" w:cs="Arial"/>
                <w:lang w:eastAsia="en-GB"/>
              </w:rPr>
            </w:pPr>
          </w:p>
          <w:p w14:paraId="47435117" w14:textId="77777777" w:rsidR="00B66A9B" w:rsidRPr="003058F5" w:rsidRDefault="00B66A9B" w:rsidP="00B66A9B">
            <w:pPr>
              <w:spacing w:line="276" w:lineRule="auto"/>
              <w:textAlignment w:val="baseline"/>
              <w:rPr>
                <w:rFonts w:eastAsia="Times New Roman" w:cs="Arial"/>
              </w:rPr>
            </w:pPr>
            <w:r>
              <w:t xml:space="preserve">(1) pour tous nos </w:t>
            </w:r>
            <w:r>
              <w:lastRenderedPageBreak/>
              <w:t>actifs sous gestion</w:t>
            </w:r>
          </w:p>
          <w:p w14:paraId="7C8AB9DE" w14:textId="78C50679" w:rsidR="00B66A9B" w:rsidRPr="003058F5" w:rsidRDefault="00B66A9B" w:rsidP="00B66A9B">
            <w:pPr>
              <w:spacing w:line="276" w:lineRule="auto"/>
              <w:textAlignment w:val="baseline"/>
              <w:rPr>
                <w:rFonts w:eastAsia="Times New Roman" w:cs="Arial"/>
              </w:rPr>
            </w:pPr>
            <w:r>
              <w:t>(2) pour plus de 50</w:t>
            </w:r>
            <w:r w:rsidR="00767929">
              <w:t> %</w:t>
            </w:r>
            <w:r>
              <w:t xml:space="preserve"> de nos actifs sous gestion</w:t>
            </w:r>
          </w:p>
          <w:p w14:paraId="015FC45C" w14:textId="399643A6" w:rsidR="00B66A9B" w:rsidRPr="003058F5" w:rsidRDefault="00B66A9B" w:rsidP="00F15919">
            <w:pPr>
              <w:spacing w:line="276" w:lineRule="auto"/>
              <w:textAlignment w:val="baseline"/>
            </w:pPr>
            <w:r>
              <w:t>(3) pour moins de 50</w:t>
            </w:r>
            <w:r w:rsidR="00767929">
              <w:t> %</w:t>
            </w:r>
            <w:r>
              <w:t xml:space="preserve"> de nos actifs sous gestion</w:t>
            </w:r>
          </w:p>
        </w:tc>
        <w:tc>
          <w:tcPr>
            <w:tcW w:w="129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1041983A" w14:textId="38D9CA84" w:rsidR="00B66A9B" w:rsidRDefault="00B66A9B" w:rsidP="00B66A9B">
            <w:pPr>
              <w:spacing w:line="276" w:lineRule="auto"/>
              <w:textAlignment w:val="baseline"/>
              <w:rPr>
                <w:rFonts w:eastAsia="Times New Roman" w:cs="Arial"/>
              </w:rPr>
            </w:pPr>
            <w:r>
              <w:lastRenderedPageBreak/>
              <w:t>[Liste déroulante]</w:t>
            </w:r>
          </w:p>
          <w:p w14:paraId="163AEF6A" w14:textId="77777777" w:rsidR="004B0B65" w:rsidRPr="003058F5" w:rsidRDefault="004B0B65" w:rsidP="00B66A9B">
            <w:pPr>
              <w:spacing w:line="276" w:lineRule="auto"/>
              <w:textAlignment w:val="baseline"/>
              <w:rPr>
                <w:rFonts w:eastAsia="Times New Roman" w:cs="Arial"/>
                <w:lang w:eastAsia="en-GB"/>
              </w:rPr>
            </w:pPr>
          </w:p>
          <w:p w14:paraId="3F799B59" w14:textId="77777777" w:rsidR="00B66A9B" w:rsidRPr="003058F5" w:rsidRDefault="00B66A9B" w:rsidP="00B66A9B">
            <w:pPr>
              <w:spacing w:line="276" w:lineRule="auto"/>
              <w:textAlignment w:val="baseline"/>
              <w:rPr>
                <w:rFonts w:eastAsia="Times New Roman" w:cs="Arial"/>
              </w:rPr>
            </w:pPr>
            <w:r>
              <w:t xml:space="preserve">(1) pour tous nos </w:t>
            </w:r>
            <w:r>
              <w:lastRenderedPageBreak/>
              <w:t>actifs sous gestion</w:t>
            </w:r>
          </w:p>
          <w:p w14:paraId="37497A9A" w14:textId="54ADFC2A" w:rsidR="00B66A9B" w:rsidRPr="003058F5" w:rsidRDefault="00B66A9B" w:rsidP="00B66A9B">
            <w:pPr>
              <w:spacing w:line="276" w:lineRule="auto"/>
              <w:textAlignment w:val="baseline"/>
              <w:rPr>
                <w:rFonts w:eastAsia="Times New Roman" w:cs="Arial"/>
              </w:rPr>
            </w:pPr>
            <w:r>
              <w:t>(2) pour plus de 50</w:t>
            </w:r>
            <w:r w:rsidR="00767929">
              <w:t> %</w:t>
            </w:r>
            <w:r>
              <w:t xml:space="preserve"> de nos actifs sous gestion</w:t>
            </w:r>
          </w:p>
          <w:p w14:paraId="51FCC0EE" w14:textId="31AFAE53" w:rsidR="00B66A9B" w:rsidRPr="003058F5" w:rsidRDefault="00B66A9B" w:rsidP="00F15919">
            <w:pPr>
              <w:spacing w:line="276" w:lineRule="auto"/>
              <w:textAlignment w:val="baseline"/>
            </w:pPr>
            <w:r>
              <w:t>(3) pour moins de 50</w:t>
            </w:r>
            <w:r w:rsidR="00767929">
              <w:t> %</w:t>
            </w:r>
            <w:r>
              <w:t xml:space="preserve"> de nos actifs sous gestion</w:t>
            </w:r>
          </w:p>
        </w:tc>
        <w:tc>
          <w:tcPr>
            <w:tcW w:w="1297"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7879A716" w14:textId="29AD5243" w:rsidR="00B66A9B" w:rsidRDefault="00B66A9B" w:rsidP="00B66A9B">
            <w:pPr>
              <w:spacing w:line="276" w:lineRule="auto"/>
              <w:textAlignment w:val="baseline"/>
              <w:rPr>
                <w:rFonts w:eastAsia="Times New Roman" w:cs="Arial"/>
              </w:rPr>
            </w:pPr>
            <w:r>
              <w:lastRenderedPageBreak/>
              <w:t>[Liste déroulante]</w:t>
            </w:r>
          </w:p>
          <w:p w14:paraId="7939AB07" w14:textId="77777777" w:rsidR="004B0B65" w:rsidRPr="003058F5" w:rsidRDefault="004B0B65" w:rsidP="00B66A9B">
            <w:pPr>
              <w:spacing w:line="276" w:lineRule="auto"/>
              <w:textAlignment w:val="baseline"/>
              <w:rPr>
                <w:rFonts w:eastAsia="Times New Roman" w:cs="Arial"/>
                <w:lang w:eastAsia="en-GB"/>
              </w:rPr>
            </w:pPr>
          </w:p>
          <w:p w14:paraId="6E0BFB17" w14:textId="77777777" w:rsidR="00B66A9B" w:rsidRPr="003058F5" w:rsidRDefault="00B66A9B" w:rsidP="00B66A9B">
            <w:pPr>
              <w:spacing w:line="276" w:lineRule="auto"/>
              <w:textAlignment w:val="baseline"/>
              <w:rPr>
                <w:rFonts w:eastAsia="Times New Roman" w:cs="Arial"/>
              </w:rPr>
            </w:pPr>
            <w:r>
              <w:t xml:space="preserve">(1) pour tous nos </w:t>
            </w:r>
            <w:r>
              <w:lastRenderedPageBreak/>
              <w:t>actifs sous gestion</w:t>
            </w:r>
          </w:p>
          <w:p w14:paraId="5CAC842F" w14:textId="3BBF828A" w:rsidR="00B66A9B" w:rsidRPr="003058F5" w:rsidRDefault="00B66A9B" w:rsidP="00B66A9B">
            <w:pPr>
              <w:spacing w:line="276" w:lineRule="auto"/>
              <w:textAlignment w:val="baseline"/>
              <w:rPr>
                <w:rFonts w:eastAsia="Times New Roman" w:cs="Arial"/>
              </w:rPr>
            </w:pPr>
            <w:r>
              <w:t>(2) pour plus de 50</w:t>
            </w:r>
            <w:r w:rsidR="00767929">
              <w:t> %</w:t>
            </w:r>
            <w:r>
              <w:t xml:space="preserve"> de nos actifs sous gestion</w:t>
            </w:r>
          </w:p>
          <w:p w14:paraId="68825D8D" w14:textId="3CFFC08C" w:rsidR="00B66A9B" w:rsidRPr="003058F5" w:rsidRDefault="00B66A9B" w:rsidP="00F15919">
            <w:pPr>
              <w:spacing w:line="276" w:lineRule="auto"/>
              <w:textAlignment w:val="baseline"/>
            </w:pPr>
            <w:r>
              <w:t>(3) pour moins de 50</w:t>
            </w:r>
            <w:r w:rsidR="00767929">
              <w:t> %</w:t>
            </w:r>
            <w:r>
              <w:t xml:space="preserve"> de nos actifs sous gestion</w:t>
            </w:r>
          </w:p>
        </w:tc>
        <w:tc>
          <w:tcPr>
            <w:tcW w:w="129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0587B3E3" w14:textId="3213A6E3" w:rsidR="00B66A9B" w:rsidRDefault="00B66A9B" w:rsidP="00B66A9B">
            <w:pPr>
              <w:spacing w:line="276" w:lineRule="auto"/>
              <w:textAlignment w:val="baseline"/>
              <w:rPr>
                <w:rFonts w:eastAsia="Times New Roman" w:cs="Arial"/>
              </w:rPr>
            </w:pPr>
            <w:r>
              <w:lastRenderedPageBreak/>
              <w:t>[Liste déroulante]</w:t>
            </w:r>
          </w:p>
          <w:p w14:paraId="36F62423" w14:textId="77777777" w:rsidR="004B0B65" w:rsidRPr="003058F5" w:rsidRDefault="004B0B65" w:rsidP="00B66A9B">
            <w:pPr>
              <w:spacing w:line="276" w:lineRule="auto"/>
              <w:textAlignment w:val="baseline"/>
              <w:rPr>
                <w:rFonts w:eastAsia="Times New Roman" w:cs="Arial"/>
                <w:lang w:eastAsia="en-GB"/>
              </w:rPr>
            </w:pPr>
          </w:p>
          <w:p w14:paraId="420CB5CD" w14:textId="77777777" w:rsidR="00B66A9B" w:rsidRPr="003058F5" w:rsidRDefault="00B66A9B" w:rsidP="00B66A9B">
            <w:pPr>
              <w:spacing w:line="276" w:lineRule="auto"/>
              <w:textAlignment w:val="baseline"/>
              <w:rPr>
                <w:rFonts w:eastAsia="Times New Roman" w:cs="Arial"/>
              </w:rPr>
            </w:pPr>
            <w:r>
              <w:t xml:space="preserve">(1) pour tous nos </w:t>
            </w:r>
            <w:r>
              <w:lastRenderedPageBreak/>
              <w:t>actifs sous gestion</w:t>
            </w:r>
          </w:p>
          <w:p w14:paraId="7CA744FF" w14:textId="3A8AA196" w:rsidR="00B66A9B" w:rsidRPr="003058F5" w:rsidRDefault="00B66A9B" w:rsidP="00B66A9B">
            <w:pPr>
              <w:spacing w:line="276" w:lineRule="auto"/>
              <w:textAlignment w:val="baseline"/>
              <w:rPr>
                <w:rFonts w:eastAsia="Times New Roman" w:cs="Arial"/>
              </w:rPr>
            </w:pPr>
            <w:r>
              <w:t>(2) pour plus de 50</w:t>
            </w:r>
            <w:r w:rsidR="00767929">
              <w:t> %</w:t>
            </w:r>
            <w:r>
              <w:t xml:space="preserve"> de nos actifs sous gestion</w:t>
            </w:r>
          </w:p>
          <w:p w14:paraId="6C4BCF86" w14:textId="7365D274" w:rsidR="00B66A9B" w:rsidRPr="003058F5" w:rsidRDefault="00B66A9B" w:rsidP="00F15919">
            <w:pPr>
              <w:spacing w:line="276" w:lineRule="auto"/>
              <w:textAlignment w:val="baseline"/>
            </w:pPr>
            <w:r>
              <w:t>(3) pour moins de 50</w:t>
            </w:r>
            <w:r w:rsidR="00767929">
              <w:t> %</w:t>
            </w:r>
            <w:r>
              <w:t xml:space="preserve"> de nos actifs sous gestion</w:t>
            </w:r>
          </w:p>
        </w:tc>
      </w:tr>
      <w:tr w:rsidR="00B6789E" w:rsidRPr="003058F5" w14:paraId="2B329D75" w14:textId="77777777" w:rsidTr="00F15919">
        <w:trPr>
          <w:gridAfter w:val="2"/>
          <w:wAfter w:w="16" w:type="dxa"/>
          <w:trHeight w:val="465"/>
        </w:trPr>
        <w:tc>
          <w:tcPr>
            <w:tcW w:w="3195"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tcMar>
              <w:top w:w="113" w:type="dxa"/>
              <w:left w:w="113" w:type="dxa"/>
              <w:bottom w:w="113" w:type="dxa"/>
              <w:right w:w="113" w:type="dxa"/>
            </w:tcMar>
            <w:vAlign w:val="center"/>
          </w:tcPr>
          <w:p w14:paraId="0CB24C04" w14:textId="11478271" w:rsidR="00DB4878" w:rsidRPr="003058F5" w:rsidDel="00711D6D" w:rsidRDefault="00DB4878" w:rsidP="00DB4878">
            <w:pPr>
              <w:spacing w:line="276" w:lineRule="auto"/>
              <w:textAlignment w:val="baseline"/>
              <w:rPr>
                <w:rFonts w:eastAsia="Times New Roman" w:cs="Arial"/>
                <w:szCs w:val="16"/>
              </w:rPr>
            </w:pPr>
            <w:r>
              <w:lastRenderedPageBreak/>
              <w:t xml:space="preserve">(B) Oui, notre processus d'investissement prend en compte les </w:t>
            </w:r>
            <w:hyperlink r:id="rId22" w:history="1">
              <w:r>
                <w:rPr>
                  <w:rStyle w:val="Lienhypertexte"/>
                </w:rPr>
                <w:t>critères environnementaux</w:t>
              </w:r>
            </w:hyperlink>
            <w:r>
              <w:t xml:space="preserve"> et </w:t>
            </w:r>
            <w:hyperlink r:id="rId23" w:history="1">
              <w:r>
                <w:rPr>
                  <w:rStyle w:val="Lienhypertexte"/>
                </w:rPr>
                <w:t>sociaux</w:t>
              </w:r>
            </w:hyperlink>
            <w:r>
              <w:t xml:space="preserve"> majeurs</w:t>
            </w:r>
          </w:p>
        </w:tc>
        <w:tc>
          <w:tcPr>
            <w:tcW w:w="1297"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06B97EC7" w14:textId="1243925D" w:rsidR="00DB4878" w:rsidRPr="003058F5" w:rsidRDefault="00DB4878" w:rsidP="00F15919">
            <w:pPr>
              <w:spacing w:line="276" w:lineRule="auto"/>
              <w:textAlignment w:val="baseline"/>
            </w:pPr>
            <w:r>
              <w:t>[Comme ci-dessus]</w:t>
            </w:r>
          </w:p>
        </w:tc>
        <w:tc>
          <w:tcPr>
            <w:tcW w:w="1297"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F1AF598" w14:textId="1390A9B1" w:rsidR="00DB4878" w:rsidRPr="003058F5" w:rsidRDefault="00DB4878" w:rsidP="00F15919">
            <w:pPr>
              <w:spacing w:line="276" w:lineRule="auto"/>
              <w:textAlignment w:val="baseline"/>
            </w:pPr>
            <w:r>
              <w:t>[Comme ci-dessus]</w:t>
            </w:r>
          </w:p>
        </w:tc>
        <w:tc>
          <w:tcPr>
            <w:tcW w:w="1298"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84C8E47" w14:textId="0B3CE9D7" w:rsidR="00DB4878" w:rsidRPr="003058F5" w:rsidRDefault="00DB4878" w:rsidP="00F15919">
            <w:pPr>
              <w:spacing w:line="276" w:lineRule="auto"/>
              <w:textAlignment w:val="baseline"/>
            </w:pPr>
            <w:r>
              <w:t>[Comme ci-dessus]</w:t>
            </w:r>
          </w:p>
        </w:tc>
        <w:tc>
          <w:tcPr>
            <w:tcW w:w="129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BFB0D43" w14:textId="467F1DB1" w:rsidR="00DB4878" w:rsidRPr="003058F5" w:rsidRDefault="00DB4878" w:rsidP="00F15919">
            <w:pPr>
              <w:spacing w:line="276" w:lineRule="auto"/>
              <w:textAlignment w:val="baseline"/>
            </w:pPr>
            <w:r>
              <w:t>[Comme ci-dessus]</w:t>
            </w:r>
          </w:p>
        </w:tc>
        <w:tc>
          <w:tcPr>
            <w:tcW w:w="129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1938AA85" w14:textId="23335A25" w:rsidR="00DB4878" w:rsidRPr="003058F5" w:rsidRDefault="00DB4878" w:rsidP="00F15919">
            <w:pPr>
              <w:spacing w:line="276" w:lineRule="auto"/>
              <w:textAlignment w:val="baseline"/>
            </w:pPr>
            <w:r>
              <w:t>[Comme ci-dessus]</w:t>
            </w:r>
          </w:p>
        </w:tc>
        <w:tc>
          <w:tcPr>
            <w:tcW w:w="1296"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DF26870" w14:textId="5A1E49A7" w:rsidR="00DB4878" w:rsidRPr="003058F5" w:rsidRDefault="00DB4878" w:rsidP="00F15919">
            <w:pPr>
              <w:spacing w:line="276" w:lineRule="auto"/>
              <w:textAlignment w:val="baseline"/>
            </w:pPr>
            <w:r>
              <w:t>[Comme ci-dessus]</w:t>
            </w:r>
          </w:p>
        </w:tc>
        <w:tc>
          <w:tcPr>
            <w:tcW w:w="129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479D6C66" w14:textId="2CFCD052" w:rsidR="00DB4878" w:rsidRPr="003058F5" w:rsidRDefault="00DB4878" w:rsidP="00F15919">
            <w:pPr>
              <w:spacing w:line="276" w:lineRule="auto"/>
              <w:textAlignment w:val="baseline"/>
            </w:pPr>
            <w:r>
              <w:t>[Comme ci-dessus]</w:t>
            </w:r>
          </w:p>
        </w:tc>
        <w:tc>
          <w:tcPr>
            <w:tcW w:w="1297"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7D546B7A" w14:textId="54DBAC6E" w:rsidR="00DB4878" w:rsidRPr="003058F5" w:rsidRDefault="00DB4878" w:rsidP="00F15919">
            <w:pPr>
              <w:spacing w:line="276" w:lineRule="auto"/>
              <w:textAlignment w:val="baseline"/>
            </w:pPr>
            <w:r>
              <w:t>[Comme ci-dessus]</w:t>
            </w:r>
          </w:p>
        </w:tc>
        <w:tc>
          <w:tcPr>
            <w:tcW w:w="129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AAC3323" w14:textId="71E1B767" w:rsidR="00DB4878" w:rsidRPr="003058F5" w:rsidRDefault="00DB4878" w:rsidP="00F15919">
            <w:pPr>
              <w:spacing w:line="276" w:lineRule="auto"/>
              <w:textAlignment w:val="baseline"/>
            </w:pPr>
            <w:r>
              <w:t>[Comme ci-dessus]</w:t>
            </w:r>
          </w:p>
        </w:tc>
      </w:tr>
      <w:tr w:rsidR="00B6789E" w:rsidRPr="003058F5" w14:paraId="0F5F0A08" w14:textId="77777777" w:rsidTr="00F15919">
        <w:trPr>
          <w:gridAfter w:val="2"/>
          <w:wAfter w:w="16" w:type="dxa"/>
          <w:trHeight w:val="465"/>
        </w:trPr>
        <w:tc>
          <w:tcPr>
            <w:tcW w:w="3195"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tcMar>
              <w:top w:w="113" w:type="dxa"/>
              <w:left w:w="113" w:type="dxa"/>
              <w:bottom w:w="113" w:type="dxa"/>
              <w:right w:w="113" w:type="dxa"/>
            </w:tcMar>
            <w:vAlign w:val="center"/>
          </w:tcPr>
          <w:p w14:paraId="168CC9E9" w14:textId="31245AD5" w:rsidR="00DB4878" w:rsidRPr="003058F5" w:rsidDel="00711D6D" w:rsidRDefault="00DB4878" w:rsidP="00DB4878">
            <w:pPr>
              <w:spacing w:line="276" w:lineRule="auto"/>
              <w:textAlignment w:val="baseline"/>
              <w:rPr>
                <w:rFonts w:eastAsia="Times New Roman" w:cs="Arial"/>
                <w:szCs w:val="16"/>
              </w:rPr>
            </w:pPr>
            <w:r>
              <w:t>(C) Oui, notre processus d'investissement prend en compte les critères ESG majeurs dans l'évaluation des risques et le profil de risque des expositions sous-jacentes</w:t>
            </w:r>
          </w:p>
        </w:tc>
        <w:tc>
          <w:tcPr>
            <w:tcW w:w="1297"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69BC4D2D" w14:textId="4552C65D" w:rsidR="00DB4878" w:rsidRPr="003058F5" w:rsidRDefault="00DB4878" w:rsidP="00F15919">
            <w:pPr>
              <w:spacing w:line="276" w:lineRule="auto"/>
              <w:textAlignment w:val="baseline"/>
            </w:pPr>
            <w:r>
              <w:t>[Comme ci-dessus]</w:t>
            </w:r>
          </w:p>
        </w:tc>
        <w:tc>
          <w:tcPr>
            <w:tcW w:w="1297"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22AA7FE" w14:textId="2FCA9EDA" w:rsidR="00DB4878" w:rsidRPr="003058F5" w:rsidRDefault="00DB4878" w:rsidP="00F15919">
            <w:pPr>
              <w:spacing w:line="276" w:lineRule="auto"/>
              <w:textAlignment w:val="baseline"/>
            </w:pPr>
            <w:r>
              <w:t>[Comme ci-dessus]</w:t>
            </w:r>
          </w:p>
        </w:tc>
        <w:tc>
          <w:tcPr>
            <w:tcW w:w="1298"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97B8587" w14:textId="3AE38C03" w:rsidR="00DB4878" w:rsidRPr="003058F5" w:rsidRDefault="00DB4878" w:rsidP="00F15919">
            <w:pPr>
              <w:spacing w:line="276" w:lineRule="auto"/>
              <w:textAlignment w:val="baseline"/>
            </w:pPr>
            <w:r>
              <w:t>[Comme ci-dessus]</w:t>
            </w:r>
          </w:p>
        </w:tc>
        <w:tc>
          <w:tcPr>
            <w:tcW w:w="129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02BE661C" w14:textId="15A2D789" w:rsidR="00DB4878" w:rsidRPr="003058F5" w:rsidRDefault="00DB4878" w:rsidP="00F15919">
            <w:pPr>
              <w:spacing w:line="276" w:lineRule="auto"/>
              <w:textAlignment w:val="baseline"/>
            </w:pPr>
            <w:r>
              <w:t>[Comme ci-dessus]</w:t>
            </w:r>
          </w:p>
        </w:tc>
        <w:tc>
          <w:tcPr>
            <w:tcW w:w="129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D600062" w14:textId="0415F9D6" w:rsidR="00DB4878" w:rsidRPr="003058F5" w:rsidRDefault="00DB4878" w:rsidP="00F15919">
            <w:pPr>
              <w:spacing w:line="276" w:lineRule="auto"/>
              <w:textAlignment w:val="baseline"/>
            </w:pPr>
            <w:r>
              <w:t>[Comme ci-dessus]</w:t>
            </w:r>
          </w:p>
        </w:tc>
        <w:tc>
          <w:tcPr>
            <w:tcW w:w="1296"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46FBA2FE" w14:textId="56FC6D60" w:rsidR="00DB4878" w:rsidRPr="003058F5" w:rsidRDefault="00DB4878" w:rsidP="00F15919">
            <w:pPr>
              <w:spacing w:line="276" w:lineRule="auto"/>
              <w:textAlignment w:val="baseline"/>
            </w:pPr>
            <w:r>
              <w:t>[Comme ci-dessus]</w:t>
            </w:r>
          </w:p>
        </w:tc>
        <w:tc>
          <w:tcPr>
            <w:tcW w:w="129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EA8D0A0" w14:textId="79D0A876" w:rsidR="00DB4878" w:rsidRPr="003058F5" w:rsidRDefault="00DB4878" w:rsidP="00F15919">
            <w:pPr>
              <w:spacing w:line="276" w:lineRule="auto"/>
              <w:textAlignment w:val="baseline"/>
            </w:pPr>
            <w:r>
              <w:t>[Comme ci-dessus]</w:t>
            </w:r>
          </w:p>
        </w:tc>
        <w:tc>
          <w:tcPr>
            <w:tcW w:w="1297"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D58689B" w14:textId="0A72D1A7" w:rsidR="00DB4878" w:rsidRPr="003058F5" w:rsidRDefault="00DB4878" w:rsidP="00F15919">
            <w:pPr>
              <w:spacing w:line="276" w:lineRule="auto"/>
              <w:textAlignment w:val="baseline"/>
            </w:pPr>
            <w:r>
              <w:t>[Comme ci-dessus]</w:t>
            </w:r>
          </w:p>
        </w:tc>
        <w:tc>
          <w:tcPr>
            <w:tcW w:w="129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73B20462" w14:textId="7B45CC0C" w:rsidR="00DB4878" w:rsidRPr="003058F5" w:rsidRDefault="00DB4878" w:rsidP="00F15919">
            <w:pPr>
              <w:spacing w:line="276" w:lineRule="auto"/>
              <w:textAlignment w:val="baseline"/>
            </w:pPr>
            <w:r>
              <w:t>[Comme ci-dessus]</w:t>
            </w:r>
          </w:p>
        </w:tc>
      </w:tr>
      <w:tr w:rsidR="00F15919" w:rsidRPr="003058F5" w14:paraId="5037C800" w14:textId="77777777" w:rsidTr="00F15919">
        <w:trPr>
          <w:gridAfter w:val="2"/>
          <w:wAfter w:w="16" w:type="dxa"/>
          <w:trHeight w:val="465"/>
        </w:trPr>
        <w:tc>
          <w:tcPr>
            <w:tcW w:w="3195"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tcMar>
              <w:top w:w="113" w:type="dxa"/>
              <w:left w:w="113" w:type="dxa"/>
              <w:bottom w:w="113" w:type="dxa"/>
              <w:right w:w="113" w:type="dxa"/>
            </w:tcMar>
            <w:vAlign w:val="center"/>
          </w:tcPr>
          <w:p w14:paraId="26670744" w14:textId="2447999D" w:rsidR="00B66A9B" w:rsidRPr="003058F5" w:rsidRDefault="00B66A9B" w:rsidP="00B66A9B">
            <w:pPr>
              <w:spacing w:line="276" w:lineRule="auto"/>
              <w:textAlignment w:val="baseline"/>
              <w:rPr>
                <w:rFonts w:eastAsia="Times New Roman" w:cs="Arial"/>
                <w:szCs w:val="16"/>
              </w:rPr>
            </w:pPr>
            <w:r>
              <w:t>(D) Non, nous ne disposons pas de processus formel</w:t>
            </w:r>
            <w:r w:rsidR="00767929">
              <w:t> ;</w:t>
            </w:r>
            <w:r>
              <w:t xml:space="preserve"> nos professionnels de l'investissement identifient les </w:t>
            </w:r>
            <w:r>
              <w:lastRenderedPageBreak/>
              <w:t>critères ESG majeurs à leur discrétion</w:t>
            </w:r>
          </w:p>
        </w:tc>
        <w:tc>
          <w:tcPr>
            <w:tcW w:w="1297"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1965F45C" w14:textId="77777777" w:rsidR="00B66A9B" w:rsidRPr="003058F5" w:rsidRDefault="00B66A9B" w:rsidP="00B66A9B">
            <w:pPr>
              <w:pStyle w:val="Paragraphedeliste"/>
              <w:numPr>
                <w:ilvl w:val="0"/>
                <w:numId w:val="43"/>
              </w:numPr>
              <w:spacing w:line="276" w:lineRule="auto"/>
              <w:jc w:val="center"/>
              <w:textAlignment w:val="baseline"/>
            </w:pPr>
          </w:p>
        </w:tc>
        <w:tc>
          <w:tcPr>
            <w:tcW w:w="1297"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98E8D73" w14:textId="0B92CA42" w:rsidR="00B66A9B" w:rsidRPr="003058F5" w:rsidRDefault="00B66A9B" w:rsidP="00B66A9B">
            <w:pPr>
              <w:pStyle w:val="Paragraphedeliste"/>
              <w:numPr>
                <w:ilvl w:val="0"/>
                <w:numId w:val="43"/>
              </w:numPr>
              <w:spacing w:line="276" w:lineRule="auto"/>
              <w:jc w:val="center"/>
              <w:textAlignment w:val="baseline"/>
            </w:pPr>
          </w:p>
        </w:tc>
        <w:tc>
          <w:tcPr>
            <w:tcW w:w="1298"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4CD55522" w14:textId="77777777" w:rsidR="00B66A9B" w:rsidRPr="003058F5" w:rsidRDefault="00B66A9B" w:rsidP="00B66A9B">
            <w:pPr>
              <w:pStyle w:val="Paragraphedeliste"/>
              <w:numPr>
                <w:ilvl w:val="0"/>
                <w:numId w:val="43"/>
              </w:numPr>
              <w:spacing w:line="276" w:lineRule="auto"/>
              <w:jc w:val="center"/>
              <w:textAlignment w:val="baseline"/>
            </w:pPr>
          </w:p>
        </w:tc>
        <w:tc>
          <w:tcPr>
            <w:tcW w:w="129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F2FE9D2" w14:textId="77777777" w:rsidR="00B66A9B" w:rsidRPr="003058F5" w:rsidRDefault="00B66A9B" w:rsidP="00B66A9B">
            <w:pPr>
              <w:pStyle w:val="Paragraphedeliste"/>
              <w:numPr>
                <w:ilvl w:val="0"/>
                <w:numId w:val="43"/>
              </w:numPr>
              <w:spacing w:line="276" w:lineRule="auto"/>
              <w:jc w:val="center"/>
              <w:textAlignment w:val="baseline"/>
            </w:pPr>
          </w:p>
        </w:tc>
        <w:tc>
          <w:tcPr>
            <w:tcW w:w="129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C29E96A" w14:textId="77777777" w:rsidR="00B66A9B" w:rsidRPr="003058F5" w:rsidRDefault="00B66A9B" w:rsidP="00B66A9B">
            <w:pPr>
              <w:pStyle w:val="Paragraphedeliste"/>
              <w:numPr>
                <w:ilvl w:val="0"/>
                <w:numId w:val="43"/>
              </w:numPr>
              <w:spacing w:line="276" w:lineRule="auto"/>
              <w:jc w:val="center"/>
              <w:textAlignment w:val="baseline"/>
            </w:pPr>
          </w:p>
        </w:tc>
        <w:tc>
          <w:tcPr>
            <w:tcW w:w="1296"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4EEC7653" w14:textId="77777777" w:rsidR="00B66A9B" w:rsidRPr="003058F5" w:rsidRDefault="00B66A9B" w:rsidP="00B66A9B">
            <w:pPr>
              <w:pStyle w:val="Paragraphedeliste"/>
              <w:numPr>
                <w:ilvl w:val="0"/>
                <w:numId w:val="43"/>
              </w:numPr>
              <w:spacing w:line="276" w:lineRule="auto"/>
              <w:jc w:val="center"/>
              <w:textAlignment w:val="baseline"/>
            </w:pPr>
          </w:p>
        </w:tc>
        <w:tc>
          <w:tcPr>
            <w:tcW w:w="129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08440CA" w14:textId="77777777" w:rsidR="00B66A9B" w:rsidRPr="003058F5" w:rsidRDefault="00B66A9B" w:rsidP="00B66A9B">
            <w:pPr>
              <w:pStyle w:val="Paragraphedeliste"/>
              <w:numPr>
                <w:ilvl w:val="0"/>
                <w:numId w:val="43"/>
              </w:numPr>
              <w:spacing w:line="276" w:lineRule="auto"/>
              <w:jc w:val="center"/>
              <w:textAlignment w:val="baseline"/>
            </w:pPr>
          </w:p>
        </w:tc>
        <w:tc>
          <w:tcPr>
            <w:tcW w:w="1297"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4CB68223" w14:textId="77777777" w:rsidR="00B66A9B" w:rsidRPr="003058F5" w:rsidRDefault="00B66A9B" w:rsidP="00B66A9B">
            <w:pPr>
              <w:pStyle w:val="Paragraphedeliste"/>
              <w:numPr>
                <w:ilvl w:val="0"/>
                <w:numId w:val="43"/>
              </w:numPr>
              <w:spacing w:line="276" w:lineRule="auto"/>
              <w:jc w:val="center"/>
              <w:textAlignment w:val="baseline"/>
            </w:pPr>
          </w:p>
        </w:tc>
        <w:tc>
          <w:tcPr>
            <w:tcW w:w="129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10AB631E" w14:textId="77777777" w:rsidR="00B66A9B" w:rsidRPr="003058F5" w:rsidRDefault="00B66A9B" w:rsidP="00B66A9B">
            <w:pPr>
              <w:pStyle w:val="Paragraphedeliste"/>
              <w:numPr>
                <w:ilvl w:val="0"/>
                <w:numId w:val="43"/>
              </w:numPr>
              <w:spacing w:line="276" w:lineRule="auto"/>
              <w:jc w:val="center"/>
              <w:textAlignment w:val="baseline"/>
            </w:pPr>
          </w:p>
        </w:tc>
      </w:tr>
      <w:tr w:rsidR="00B6789E" w:rsidRPr="003058F5" w14:paraId="766FEBDA" w14:textId="77777777" w:rsidTr="00F15919">
        <w:trPr>
          <w:gridAfter w:val="2"/>
          <w:wAfter w:w="16" w:type="dxa"/>
          <w:trHeight w:val="465"/>
        </w:trPr>
        <w:tc>
          <w:tcPr>
            <w:tcW w:w="3195"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tcMar>
              <w:top w:w="113" w:type="dxa"/>
              <w:left w:w="113" w:type="dxa"/>
              <w:bottom w:w="113" w:type="dxa"/>
              <w:right w:w="113" w:type="dxa"/>
            </w:tcMar>
            <w:vAlign w:val="center"/>
          </w:tcPr>
          <w:p w14:paraId="74D1B6B0" w14:textId="6706C189" w:rsidR="00B66A9B" w:rsidRPr="003058F5" w:rsidDel="00711D6D" w:rsidRDefault="00B66A9B" w:rsidP="00B66A9B">
            <w:pPr>
              <w:spacing w:line="276" w:lineRule="auto"/>
              <w:textAlignment w:val="baseline"/>
              <w:rPr>
                <w:rFonts w:eastAsia="Times New Roman" w:cs="Arial"/>
                <w:szCs w:val="16"/>
              </w:rPr>
            </w:pPr>
            <w:r>
              <w:t>(E) Non, nous ne disposons pas de processus formel ou informel permettant d’identifier et de prendre en compte les critères ESG majeurs</w:t>
            </w:r>
          </w:p>
        </w:tc>
        <w:tc>
          <w:tcPr>
            <w:tcW w:w="1297"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6AEBF1A4" w14:textId="77777777" w:rsidR="00B66A9B" w:rsidRPr="003058F5" w:rsidRDefault="00B66A9B" w:rsidP="00B66A9B">
            <w:pPr>
              <w:pStyle w:val="Paragraphedeliste"/>
              <w:numPr>
                <w:ilvl w:val="0"/>
                <w:numId w:val="43"/>
              </w:numPr>
              <w:spacing w:line="276" w:lineRule="auto"/>
              <w:jc w:val="center"/>
              <w:textAlignment w:val="baseline"/>
            </w:pPr>
          </w:p>
        </w:tc>
        <w:tc>
          <w:tcPr>
            <w:tcW w:w="1297"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C5A7DFE" w14:textId="483D18C4" w:rsidR="00B66A9B" w:rsidRPr="003058F5" w:rsidRDefault="00B66A9B" w:rsidP="00B66A9B">
            <w:pPr>
              <w:pStyle w:val="Paragraphedeliste"/>
              <w:numPr>
                <w:ilvl w:val="0"/>
                <w:numId w:val="43"/>
              </w:numPr>
              <w:spacing w:line="276" w:lineRule="auto"/>
              <w:jc w:val="center"/>
              <w:textAlignment w:val="baseline"/>
            </w:pPr>
          </w:p>
        </w:tc>
        <w:tc>
          <w:tcPr>
            <w:tcW w:w="1298"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6A03D16" w14:textId="77777777" w:rsidR="00B66A9B" w:rsidRPr="003058F5" w:rsidRDefault="00B66A9B" w:rsidP="00B66A9B">
            <w:pPr>
              <w:pStyle w:val="Paragraphedeliste"/>
              <w:numPr>
                <w:ilvl w:val="0"/>
                <w:numId w:val="43"/>
              </w:numPr>
              <w:spacing w:line="276" w:lineRule="auto"/>
              <w:jc w:val="center"/>
              <w:textAlignment w:val="baseline"/>
            </w:pPr>
          </w:p>
        </w:tc>
        <w:tc>
          <w:tcPr>
            <w:tcW w:w="129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C54373A" w14:textId="77777777" w:rsidR="00B66A9B" w:rsidRPr="003058F5" w:rsidRDefault="00B66A9B" w:rsidP="00B66A9B">
            <w:pPr>
              <w:pStyle w:val="Paragraphedeliste"/>
              <w:numPr>
                <w:ilvl w:val="0"/>
                <w:numId w:val="43"/>
              </w:numPr>
              <w:spacing w:line="276" w:lineRule="auto"/>
              <w:jc w:val="center"/>
              <w:textAlignment w:val="baseline"/>
            </w:pPr>
          </w:p>
        </w:tc>
        <w:tc>
          <w:tcPr>
            <w:tcW w:w="129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75D79BC9" w14:textId="77777777" w:rsidR="00B66A9B" w:rsidRPr="003058F5" w:rsidRDefault="00B66A9B" w:rsidP="00B66A9B">
            <w:pPr>
              <w:pStyle w:val="Paragraphedeliste"/>
              <w:numPr>
                <w:ilvl w:val="0"/>
                <w:numId w:val="43"/>
              </w:numPr>
              <w:spacing w:line="276" w:lineRule="auto"/>
              <w:jc w:val="center"/>
              <w:textAlignment w:val="baseline"/>
            </w:pPr>
          </w:p>
        </w:tc>
        <w:tc>
          <w:tcPr>
            <w:tcW w:w="1296"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B8067A0" w14:textId="77777777" w:rsidR="00B66A9B" w:rsidRPr="003058F5" w:rsidRDefault="00B66A9B" w:rsidP="00B66A9B">
            <w:pPr>
              <w:pStyle w:val="Paragraphedeliste"/>
              <w:numPr>
                <w:ilvl w:val="0"/>
                <w:numId w:val="43"/>
              </w:numPr>
              <w:spacing w:line="276" w:lineRule="auto"/>
              <w:jc w:val="center"/>
              <w:textAlignment w:val="baseline"/>
            </w:pPr>
          </w:p>
        </w:tc>
        <w:tc>
          <w:tcPr>
            <w:tcW w:w="129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8145DD6" w14:textId="77777777" w:rsidR="00B66A9B" w:rsidRPr="003058F5" w:rsidRDefault="00B66A9B" w:rsidP="00B66A9B">
            <w:pPr>
              <w:pStyle w:val="Paragraphedeliste"/>
              <w:numPr>
                <w:ilvl w:val="0"/>
                <w:numId w:val="43"/>
              </w:numPr>
              <w:spacing w:line="276" w:lineRule="auto"/>
              <w:jc w:val="center"/>
              <w:textAlignment w:val="baseline"/>
            </w:pPr>
          </w:p>
        </w:tc>
        <w:tc>
          <w:tcPr>
            <w:tcW w:w="1297"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0060A633" w14:textId="77777777" w:rsidR="00B66A9B" w:rsidRPr="003058F5" w:rsidRDefault="00B66A9B" w:rsidP="00B66A9B">
            <w:pPr>
              <w:pStyle w:val="Paragraphedeliste"/>
              <w:numPr>
                <w:ilvl w:val="0"/>
                <w:numId w:val="43"/>
              </w:numPr>
              <w:spacing w:line="276" w:lineRule="auto"/>
              <w:jc w:val="center"/>
              <w:textAlignment w:val="baseline"/>
            </w:pPr>
          </w:p>
        </w:tc>
        <w:tc>
          <w:tcPr>
            <w:tcW w:w="129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16D4A2A2" w14:textId="77777777" w:rsidR="00B66A9B" w:rsidRPr="003058F5" w:rsidRDefault="00B66A9B" w:rsidP="00B66A9B">
            <w:pPr>
              <w:pStyle w:val="Paragraphedeliste"/>
              <w:numPr>
                <w:ilvl w:val="0"/>
                <w:numId w:val="43"/>
              </w:numPr>
              <w:spacing w:line="276" w:lineRule="auto"/>
              <w:jc w:val="center"/>
              <w:textAlignment w:val="baseline"/>
            </w:pPr>
          </w:p>
        </w:tc>
      </w:tr>
      <w:tr w:rsidR="00B66A9B" w:rsidRPr="003058F5" w14:paraId="57DD5C75" w14:textId="77777777" w:rsidTr="00F15919">
        <w:trPr>
          <w:gridAfter w:val="2"/>
          <w:wAfter w:w="16" w:type="dxa"/>
          <w:trHeight w:val="300"/>
        </w:trPr>
        <w:tc>
          <w:tcPr>
            <w:tcW w:w="14868" w:type="dxa"/>
            <w:gridSpan w:val="19"/>
            <w:tcBorders>
              <w:top w:val="single" w:sz="6" w:space="0" w:color="A6A6A6" w:themeColor="background1" w:themeShade="A6"/>
              <w:left w:val="nil"/>
              <w:bottom w:val="single" w:sz="6" w:space="0" w:color="A6A6A6" w:themeColor="background1" w:themeShade="A6"/>
              <w:right w:val="nil"/>
            </w:tcBorders>
            <w:shd w:val="clear" w:color="auto" w:fill="FFFFFF" w:themeFill="background1"/>
            <w:tcMar>
              <w:top w:w="0" w:type="dxa"/>
              <w:bottom w:w="0" w:type="dxa"/>
            </w:tcMar>
            <w:vAlign w:val="center"/>
          </w:tcPr>
          <w:p w14:paraId="2FB1ECFC" w14:textId="77777777" w:rsidR="00B66A9B" w:rsidRPr="003058F5" w:rsidRDefault="00B66A9B" w:rsidP="00B66A9B">
            <w:pPr>
              <w:spacing w:line="240" w:lineRule="auto"/>
              <w:jc w:val="center"/>
              <w:textAlignment w:val="baseline"/>
              <w:rPr>
                <w:rStyle w:val="Lienhypertexte"/>
                <w:sz w:val="16"/>
                <w:szCs w:val="16"/>
              </w:rPr>
            </w:pPr>
          </w:p>
        </w:tc>
      </w:tr>
      <w:tr w:rsidR="00B66A9B" w:rsidRPr="003058F5" w14:paraId="06C1C820" w14:textId="77777777" w:rsidTr="00F15919">
        <w:trPr>
          <w:gridAfter w:val="2"/>
          <w:wAfter w:w="16" w:type="dxa"/>
          <w:trHeight w:val="300"/>
        </w:trPr>
        <w:tc>
          <w:tcPr>
            <w:tcW w:w="14868" w:type="dxa"/>
            <w:gridSpan w:val="19"/>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0070C0"/>
            <w:vAlign w:val="center"/>
          </w:tcPr>
          <w:p w14:paraId="6230D755" w14:textId="77777777" w:rsidR="00B66A9B" w:rsidRPr="003058F5" w:rsidRDefault="00B66A9B" w:rsidP="00B66A9B">
            <w:pPr>
              <w:rPr>
                <w:rStyle w:val="Lienhypertexte"/>
                <w:b/>
                <w:bCs/>
                <w:color w:val="FFFFFF" w:themeColor="background1"/>
                <w:sz w:val="18"/>
                <w:szCs w:val="18"/>
              </w:rPr>
            </w:pPr>
            <w:r>
              <w:rPr>
                <w:b/>
                <w:color w:val="FFFFFF" w:themeColor="background1"/>
                <w:sz w:val="18"/>
              </w:rPr>
              <w:t>Notes explicatives</w:t>
            </w:r>
          </w:p>
        </w:tc>
      </w:tr>
      <w:tr w:rsidR="00B66A9B" w:rsidRPr="003058F5" w14:paraId="3F9720D2" w14:textId="77777777" w:rsidTr="00F15919">
        <w:trPr>
          <w:gridAfter w:val="2"/>
          <w:wAfter w:w="16" w:type="dxa"/>
          <w:trHeight w:val="300"/>
        </w:trPr>
        <w:tc>
          <w:tcPr>
            <w:tcW w:w="1808"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3272AD9" w14:textId="77777777" w:rsidR="00B66A9B" w:rsidRPr="003058F5" w:rsidRDefault="00B66A9B" w:rsidP="00B66A9B">
            <w:pPr>
              <w:rPr>
                <w:rStyle w:val="Lienhypertexte"/>
                <w:b/>
                <w:sz w:val="16"/>
                <w:szCs w:val="16"/>
              </w:rPr>
            </w:pPr>
            <w:r>
              <w:rPr>
                <w:b/>
                <w:sz w:val="16"/>
              </w:rPr>
              <w:t>Objectif de l’indicateur</w:t>
            </w:r>
          </w:p>
        </w:tc>
        <w:tc>
          <w:tcPr>
            <w:tcW w:w="13060" w:type="dxa"/>
            <w:gridSpan w:val="17"/>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0A39BA7" w14:textId="5D589ED7" w:rsidR="00556C2C" w:rsidRPr="003058F5" w:rsidRDefault="00556C2C" w:rsidP="003B258F">
            <w:pPr>
              <w:rPr>
                <w:rStyle w:val="Lienhypertexte"/>
                <w:color w:val="000000" w:themeColor="text1"/>
                <w:sz w:val="16"/>
                <w:szCs w:val="16"/>
              </w:rPr>
            </w:pPr>
            <w:r>
              <w:rPr>
                <w:rStyle w:val="Lienhypertexte"/>
                <w:color w:val="000000" w:themeColor="text1"/>
                <w:sz w:val="16"/>
              </w:rPr>
              <w:t>Cet indicateur vise à évaluer l'étendue et la profondeur de la recherche du signataire sur les critères ESG majeurs et à établir si ce processus a été formalisé dans le cadre de ses processus d'investissement.</w:t>
            </w:r>
            <w:r>
              <w:rPr>
                <w:rStyle w:val="Lienhypertexte"/>
                <w:color w:val="auto"/>
                <w:sz w:val="16"/>
              </w:rPr>
              <w:t xml:space="preserve"> Il convient de veiller à ce que l'analyse des fonds spéculatifs</w:t>
            </w:r>
            <w:r>
              <w:rPr>
                <w:rStyle w:val="Lienhypertexte"/>
                <w:sz w:val="16"/>
              </w:rPr>
              <w:t xml:space="preserve"> </w:t>
            </w:r>
            <w:r>
              <w:rPr>
                <w:rStyle w:val="Lienhypertexte"/>
                <w:color w:val="auto"/>
                <w:sz w:val="16"/>
              </w:rPr>
              <w:t xml:space="preserve">s'étende </w:t>
            </w:r>
            <w:r>
              <w:rPr>
                <w:rStyle w:val="Lienhypertexte"/>
                <w:color w:val="000000" w:themeColor="text1"/>
                <w:sz w:val="16"/>
              </w:rPr>
              <w:t>au-delà des critères de gouvernance majeurs et soit intégrée au processus formel ou à la structure formelle d'investissement d'une organisation afin de permettre l'identification et la gestion des risques baissiers qu’il serait impossible de déceler sans l'analyse des données et des tendances ESG. L'intégration formelle de cette analyse dans le processus d'investissement permet d'en assurer la cohérence au sein de l'organisation.</w:t>
            </w:r>
          </w:p>
        </w:tc>
      </w:tr>
      <w:tr w:rsidR="00B66A9B" w:rsidRPr="003058F5" w14:paraId="6AF75165" w14:textId="77777777" w:rsidTr="00F15919">
        <w:trPr>
          <w:gridAfter w:val="2"/>
          <w:wAfter w:w="16" w:type="dxa"/>
          <w:trHeight w:val="300"/>
        </w:trPr>
        <w:tc>
          <w:tcPr>
            <w:tcW w:w="1808"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3D2F940" w14:textId="69DCDE0B" w:rsidR="00B66A9B" w:rsidRPr="003058F5" w:rsidRDefault="004B4572" w:rsidP="00B66A9B">
            <w:pPr>
              <w:rPr>
                <w:rStyle w:val="Lienhypertexte"/>
                <w:b/>
                <w:sz w:val="16"/>
                <w:szCs w:val="16"/>
              </w:rPr>
            </w:pPr>
            <w:r>
              <w:rPr>
                <w:b/>
                <w:sz w:val="16"/>
              </w:rPr>
              <w:t>Recommandations supplémentaires</w:t>
            </w:r>
            <w:r w:rsidR="00B66A9B">
              <w:rPr>
                <w:b/>
                <w:sz w:val="16"/>
              </w:rPr>
              <w:t xml:space="preserve"> en matière de </w:t>
            </w:r>
            <w:proofErr w:type="spellStart"/>
            <w:r w:rsidR="00B66A9B">
              <w:rPr>
                <w:b/>
                <w:sz w:val="16"/>
              </w:rPr>
              <w:t>reporting</w:t>
            </w:r>
            <w:proofErr w:type="spellEnd"/>
          </w:p>
        </w:tc>
        <w:tc>
          <w:tcPr>
            <w:tcW w:w="13060" w:type="dxa"/>
            <w:gridSpan w:val="17"/>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CBE6E71" w14:textId="6C807084" w:rsidR="00B66A9B" w:rsidRPr="003058F5" w:rsidRDefault="00B66A9B" w:rsidP="00B66A9B">
            <w:pPr>
              <w:rPr>
                <w:rStyle w:val="Lienhypertexte"/>
                <w:color w:val="000000" w:themeColor="text1"/>
                <w:sz w:val="16"/>
                <w:szCs w:val="16"/>
              </w:rPr>
            </w:pPr>
            <w:r>
              <w:rPr>
                <w:rStyle w:val="Lienhypertexte"/>
                <w:color w:val="000000" w:themeColor="text1"/>
                <w:sz w:val="16"/>
              </w:rPr>
              <w:t xml:space="preserve">Un processus formel d'identification des critères ESG majeurs implique une </w:t>
            </w:r>
            <w:r w:rsidR="009944BD">
              <w:rPr>
                <w:rStyle w:val="Lienhypertexte"/>
                <w:color w:val="000000" w:themeColor="text1"/>
                <w:sz w:val="16"/>
              </w:rPr>
              <w:t xml:space="preserve">incorporation </w:t>
            </w:r>
            <w:r>
              <w:rPr>
                <w:rStyle w:val="Lienhypertexte"/>
                <w:color w:val="000000" w:themeColor="text1"/>
                <w:sz w:val="16"/>
              </w:rPr>
              <w:t>systématique ou structurée de tout ou partie des trois étapes suivantes dans le processus d'investissement</w:t>
            </w:r>
            <w:r w:rsidR="00767929">
              <w:rPr>
                <w:rStyle w:val="Lienhypertexte"/>
                <w:color w:val="000000" w:themeColor="text1"/>
                <w:sz w:val="16"/>
              </w:rPr>
              <w:t> :</w:t>
            </w:r>
            <w:r>
              <w:rPr>
                <w:rStyle w:val="Lienhypertexte"/>
                <w:color w:val="000000" w:themeColor="text1"/>
                <w:sz w:val="16"/>
              </w:rPr>
              <w:t xml:space="preserve"> </w:t>
            </w:r>
          </w:p>
          <w:p w14:paraId="109FC244" w14:textId="16696880" w:rsidR="00B66A9B" w:rsidRPr="003058F5" w:rsidRDefault="00B66A9B" w:rsidP="00B66A9B">
            <w:pPr>
              <w:rPr>
                <w:rStyle w:val="Lienhypertexte"/>
                <w:color w:val="000000" w:themeColor="text1"/>
                <w:sz w:val="16"/>
                <w:szCs w:val="16"/>
              </w:rPr>
            </w:pPr>
            <w:r>
              <w:rPr>
                <w:rStyle w:val="Lienhypertexte"/>
                <w:color w:val="000000" w:themeColor="text1"/>
                <w:sz w:val="16"/>
              </w:rPr>
              <w:t>(i) Recherche sur les titres, les émissions ou les actifs</w:t>
            </w:r>
            <w:r w:rsidR="00767929">
              <w:rPr>
                <w:rStyle w:val="Lienhypertexte"/>
                <w:color w:val="000000" w:themeColor="text1"/>
                <w:sz w:val="16"/>
              </w:rPr>
              <w:t> :</w:t>
            </w:r>
            <w:r>
              <w:rPr>
                <w:rStyle w:val="Lienhypertexte"/>
                <w:color w:val="000000" w:themeColor="text1"/>
                <w:sz w:val="16"/>
              </w:rPr>
              <w:t xml:space="preserve"> identification des enjeux ESG majeurs ayant une incidence sur la valorisation d’un titre, d’une émission ou d’un actif (ou qui peuvent constituer des thèmes de dialogue).</w:t>
            </w:r>
          </w:p>
          <w:p w14:paraId="5BEC5CAE" w14:textId="64DAA361" w:rsidR="00B66A9B" w:rsidRPr="003058F5" w:rsidRDefault="00B66A9B" w:rsidP="00B66A9B">
            <w:pPr>
              <w:rPr>
                <w:rStyle w:val="Lienhypertexte"/>
                <w:color w:val="000000" w:themeColor="text1"/>
                <w:sz w:val="16"/>
                <w:szCs w:val="16"/>
              </w:rPr>
            </w:pPr>
            <w:r>
              <w:rPr>
                <w:rStyle w:val="Lienhypertexte"/>
                <w:color w:val="000000" w:themeColor="text1"/>
                <w:sz w:val="16"/>
              </w:rPr>
              <w:t>(ii) Valorisation des titres, des émissions ou des actifs</w:t>
            </w:r>
            <w:r w:rsidR="00767929">
              <w:rPr>
                <w:rStyle w:val="Lienhypertexte"/>
                <w:color w:val="000000" w:themeColor="text1"/>
                <w:sz w:val="16"/>
              </w:rPr>
              <w:t> :</w:t>
            </w:r>
            <w:r>
              <w:rPr>
                <w:rStyle w:val="Lienhypertexte"/>
                <w:color w:val="000000" w:themeColor="text1"/>
                <w:sz w:val="16"/>
              </w:rPr>
              <w:t xml:space="preserve"> intégration des enjeux ESG majeurs dans l’analyse financière, notamment en adaptant les taux de rendement voulus, les multiples de valorisation, les résultats prévisionnels, les flux de trésorerie et la solidité du bilan de l’entreprise.</w:t>
            </w:r>
          </w:p>
          <w:p w14:paraId="4409AEB9" w14:textId="40532DC9" w:rsidR="00B66A9B" w:rsidRPr="003058F5" w:rsidRDefault="00B66A9B" w:rsidP="00B66A9B">
            <w:pPr>
              <w:rPr>
                <w:rStyle w:val="Lienhypertexte"/>
                <w:color w:val="000000" w:themeColor="text1"/>
                <w:sz w:val="16"/>
                <w:szCs w:val="16"/>
              </w:rPr>
            </w:pPr>
            <w:r>
              <w:rPr>
                <w:rStyle w:val="Lienhypertexte"/>
                <w:color w:val="000000" w:themeColor="text1"/>
                <w:sz w:val="16"/>
              </w:rPr>
              <w:t>(iii) Gestion de portefeuille</w:t>
            </w:r>
            <w:r w:rsidR="00767929">
              <w:rPr>
                <w:rStyle w:val="Lienhypertexte"/>
                <w:color w:val="000000" w:themeColor="text1"/>
                <w:sz w:val="16"/>
              </w:rPr>
              <w:t> :</w:t>
            </w:r>
            <w:r>
              <w:rPr>
                <w:rStyle w:val="Lienhypertexte"/>
                <w:color w:val="000000" w:themeColor="text1"/>
                <w:sz w:val="16"/>
              </w:rPr>
              <w:t xml:space="preserve"> prise en compte de l’analyse ESG dans les décisions sur la </w:t>
            </w:r>
            <w:r w:rsidR="00E00EA9">
              <w:rPr>
                <w:rStyle w:val="Lienhypertexte"/>
                <w:color w:val="000000" w:themeColor="text1"/>
                <w:sz w:val="16"/>
              </w:rPr>
              <w:t xml:space="preserve">construction </w:t>
            </w:r>
            <w:r>
              <w:rPr>
                <w:rStyle w:val="Lienhypertexte"/>
                <w:color w:val="000000" w:themeColor="text1"/>
                <w:sz w:val="16"/>
              </w:rPr>
              <w:t>du portefeuille, en utilisant, par exemple, les pondérations sectorielles.</w:t>
            </w:r>
          </w:p>
          <w:p w14:paraId="22F45503" w14:textId="77777777" w:rsidR="00136048" w:rsidRPr="003058F5" w:rsidRDefault="00136048" w:rsidP="00B66A9B">
            <w:pPr>
              <w:rPr>
                <w:rStyle w:val="Lienhypertexte"/>
                <w:color w:val="000000" w:themeColor="text1"/>
                <w:sz w:val="16"/>
                <w:szCs w:val="16"/>
              </w:rPr>
            </w:pPr>
          </w:p>
          <w:p w14:paraId="185C69DF" w14:textId="6F63E9AE" w:rsidR="00760426" w:rsidRPr="003058F5" w:rsidRDefault="00B66A9B" w:rsidP="00B66A9B">
            <w:pPr>
              <w:rPr>
                <w:rStyle w:val="Lienhypertexte"/>
                <w:color w:val="000000" w:themeColor="text1"/>
                <w:sz w:val="16"/>
                <w:szCs w:val="16"/>
              </w:rPr>
            </w:pPr>
            <w:r>
              <w:rPr>
                <w:rStyle w:val="Lienhypertexte"/>
                <w:color w:val="000000" w:themeColor="text1"/>
                <w:sz w:val="16"/>
              </w:rPr>
              <w:t xml:space="preserve">Dans cet indicateur, un processus </w:t>
            </w:r>
            <w:r w:rsidR="00FC3BD3">
              <w:rPr>
                <w:rStyle w:val="Lienhypertexte"/>
                <w:color w:val="000000" w:themeColor="text1"/>
                <w:sz w:val="16"/>
              </w:rPr>
              <w:t>« </w:t>
            </w:r>
            <w:r>
              <w:rPr>
                <w:rStyle w:val="Lienhypertexte"/>
                <w:color w:val="000000" w:themeColor="text1"/>
                <w:sz w:val="16"/>
              </w:rPr>
              <w:t>formel</w:t>
            </w:r>
            <w:r w:rsidR="00FC3BD3">
              <w:rPr>
                <w:rStyle w:val="Lienhypertexte"/>
                <w:color w:val="000000" w:themeColor="text1"/>
                <w:sz w:val="16"/>
              </w:rPr>
              <w:t> »</w:t>
            </w:r>
            <w:r>
              <w:rPr>
                <w:rStyle w:val="Lienhypertexte"/>
                <w:color w:val="000000" w:themeColor="text1"/>
                <w:sz w:val="16"/>
              </w:rPr>
              <w:t xml:space="preserve"> d’investissement fait référence à une structure et à un processus d’investissement </w:t>
            </w:r>
            <w:r w:rsidR="00E00EA9">
              <w:rPr>
                <w:rStyle w:val="Lienhypertexte"/>
                <w:color w:val="000000" w:themeColor="text1"/>
                <w:sz w:val="16"/>
              </w:rPr>
              <w:t>prédéfinis</w:t>
            </w:r>
            <w:r>
              <w:rPr>
                <w:rStyle w:val="Lienhypertexte"/>
                <w:color w:val="000000" w:themeColor="text1"/>
                <w:sz w:val="16"/>
              </w:rPr>
              <w:t>, incluant la supervision et la responsabilité de mise en œuvre dudit processus.</w:t>
            </w:r>
          </w:p>
          <w:p w14:paraId="758DF51F" w14:textId="77777777" w:rsidR="00760426" w:rsidRPr="003058F5" w:rsidRDefault="00760426" w:rsidP="00760426">
            <w:pPr>
              <w:rPr>
                <w:rStyle w:val="Lienhypertexte"/>
                <w:color w:val="000000" w:themeColor="text1"/>
                <w:sz w:val="16"/>
                <w:szCs w:val="16"/>
              </w:rPr>
            </w:pPr>
          </w:p>
          <w:p w14:paraId="6FB0C15F" w14:textId="56228B8D" w:rsidR="00AA6B1C" w:rsidRPr="003058F5" w:rsidRDefault="00AA6B1C" w:rsidP="00AA6B1C">
            <w:pPr>
              <w:rPr>
                <w:rStyle w:val="Lienhypertexte"/>
                <w:color w:val="000000" w:themeColor="text1"/>
                <w:sz w:val="16"/>
                <w:szCs w:val="16"/>
              </w:rPr>
            </w:pPr>
            <w:r>
              <w:rPr>
                <w:rStyle w:val="Lienhypertexte"/>
                <w:color w:val="000000" w:themeColor="text1"/>
                <w:sz w:val="16"/>
              </w:rPr>
              <w:t xml:space="preserve">Les critères ESG majeurs sont identifiés et évalués en sus des critères financiers classiques dans le cadre de la prise d’une décision d’investissement sur une entreprise donnée ou la structure de l’ensemble du portefeuille, en vue de réduire le risque et/ou d’accroître les rendements. Les investisseurs appliquent une série de techniques afin d’identifier les risques et opportunités qui pourraient </w:t>
            </w:r>
            <w:r w:rsidR="00E00EA9">
              <w:rPr>
                <w:rStyle w:val="Lienhypertexte"/>
                <w:color w:val="000000" w:themeColor="text1"/>
                <w:sz w:val="16"/>
              </w:rPr>
              <w:t>être négligés sans l’analyse de données spécifiques et tendances générales ESG</w:t>
            </w:r>
            <w:r>
              <w:rPr>
                <w:rStyle w:val="Lienhypertexte"/>
                <w:color w:val="000000" w:themeColor="text1"/>
                <w:sz w:val="16"/>
              </w:rPr>
              <w:t xml:space="preserve">. </w:t>
            </w:r>
            <w:r w:rsidR="00E00EA9">
              <w:rPr>
                <w:rStyle w:val="Lienhypertexte"/>
                <w:color w:val="000000" w:themeColor="text1"/>
                <w:sz w:val="16"/>
              </w:rPr>
              <w:t xml:space="preserve">La pertinence et la matérialité </w:t>
            </w:r>
            <w:r>
              <w:rPr>
                <w:rStyle w:val="Lienhypertexte"/>
                <w:color w:val="000000" w:themeColor="text1"/>
                <w:sz w:val="16"/>
              </w:rPr>
              <w:t xml:space="preserve">des critères ESG </w:t>
            </w:r>
            <w:r w:rsidR="00E00EA9">
              <w:rPr>
                <w:rStyle w:val="Lienhypertexte"/>
                <w:color w:val="000000" w:themeColor="text1"/>
                <w:sz w:val="16"/>
              </w:rPr>
              <w:t>varie</w:t>
            </w:r>
            <w:r w:rsidR="00A22000">
              <w:rPr>
                <w:rStyle w:val="Lienhypertexte"/>
                <w:color w:val="000000" w:themeColor="text1"/>
                <w:sz w:val="16"/>
              </w:rPr>
              <w:t>nt</w:t>
            </w:r>
            <w:r>
              <w:rPr>
                <w:rStyle w:val="Lienhypertexte"/>
                <w:color w:val="000000" w:themeColor="text1"/>
                <w:sz w:val="16"/>
              </w:rPr>
              <w:t xml:space="preserve"> selon les entreprises, les secteurs d'activité et les marchés. Dans cet indicateur, il ne s’agit pas d’évaluer l’opinion définitive du signataire en termes de pertinence ou </w:t>
            </w:r>
            <w:r w:rsidR="00E00EA9">
              <w:rPr>
                <w:rStyle w:val="Lienhypertexte"/>
                <w:color w:val="000000" w:themeColor="text1"/>
                <w:sz w:val="16"/>
              </w:rPr>
              <w:t>de matérialité</w:t>
            </w:r>
            <w:r>
              <w:rPr>
                <w:rStyle w:val="Lienhypertexte"/>
                <w:color w:val="000000" w:themeColor="text1"/>
                <w:sz w:val="16"/>
              </w:rPr>
              <w:t xml:space="preserve">, mais de mesurer l’étendue de ses processus </w:t>
            </w:r>
            <w:r w:rsidR="00E00EA9">
              <w:rPr>
                <w:rStyle w:val="Lienhypertexte"/>
                <w:color w:val="000000" w:themeColor="text1"/>
                <w:sz w:val="16"/>
              </w:rPr>
              <w:t>de recherche et d’analyse</w:t>
            </w:r>
            <w:r>
              <w:rPr>
                <w:rStyle w:val="Lienhypertexte"/>
                <w:color w:val="000000" w:themeColor="text1"/>
                <w:sz w:val="16"/>
              </w:rPr>
              <w:t>.</w:t>
            </w:r>
          </w:p>
        </w:tc>
      </w:tr>
      <w:tr w:rsidR="00B66A9B" w:rsidRPr="003058F5" w14:paraId="42DA0D8A" w14:textId="77777777" w:rsidTr="00F15919">
        <w:trPr>
          <w:gridAfter w:val="2"/>
          <w:wAfter w:w="16" w:type="dxa"/>
          <w:trHeight w:val="300"/>
        </w:trPr>
        <w:tc>
          <w:tcPr>
            <w:tcW w:w="1808"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CFA8182" w14:textId="77777777" w:rsidR="00B66A9B" w:rsidRPr="003058F5" w:rsidRDefault="00B66A9B" w:rsidP="00B66A9B">
            <w:pPr>
              <w:rPr>
                <w:b/>
                <w:bCs/>
                <w:sz w:val="16"/>
                <w:szCs w:val="16"/>
              </w:rPr>
            </w:pPr>
            <w:r>
              <w:rPr>
                <w:b/>
                <w:sz w:val="16"/>
              </w:rPr>
              <w:t>Autres ressources</w:t>
            </w:r>
          </w:p>
        </w:tc>
        <w:tc>
          <w:tcPr>
            <w:tcW w:w="13060" w:type="dxa"/>
            <w:gridSpan w:val="17"/>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1472EC5" w14:textId="095E35F0" w:rsidR="00B66A9B" w:rsidRPr="003058F5" w:rsidRDefault="00B66A9B" w:rsidP="00B66A9B">
            <w:pPr>
              <w:rPr>
                <w:rStyle w:val="Lienhypertexte"/>
                <w:color w:val="000000" w:themeColor="text1"/>
              </w:rPr>
            </w:pPr>
            <w:r>
              <w:rPr>
                <w:rStyle w:val="Lienhypertexte"/>
                <w:color w:val="000000" w:themeColor="text1"/>
                <w:sz w:val="16"/>
              </w:rPr>
              <w:t xml:space="preserve">Pour de plus amples informations, veuillez consulter le document des PRI intitulé </w:t>
            </w:r>
            <w:hyperlink r:id="rId24" w:history="1">
              <w:proofErr w:type="spellStart"/>
              <w:r>
                <w:rPr>
                  <w:rStyle w:val="Lienhypertexte"/>
                  <w:sz w:val="16"/>
                </w:rPr>
                <w:t>Technical</w:t>
              </w:r>
              <w:proofErr w:type="spellEnd"/>
              <w:r>
                <w:rPr>
                  <w:rStyle w:val="Lienhypertexte"/>
                  <w:sz w:val="16"/>
                </w:rPr>
                <w:t xml:space="preserve"> </w:t>
              </w:r>
              <w:proofErr w:type="spellStart"/>
              <w:r>
                <w:rPr>
                  <w:rStyle w:val="Lienhypertexte"/>
                  <w:sz w:val="16"/>
                </w:rPr>
                <w:t>guide:</w:t>
              </w:r>
            </w:hyperlink>
            <w:hyperlink r:id="rId25" w:history="1">
              <w:r>
                <w:rPr>
                  <w:rStyle w:val="Lienhypertexte"/>
                  <w:sz w:val="16"/>
                </w:rPr>
                <w:t>ESG</w:t>
              </w:r>
              <w:proofErr w:type="spellEnd"/>
              <w:r>
                <w:rPr>
                  <w:rStyle w:val="Lienhypertexte"/>
                  <w:sz w:val="16"/>
                </w:rPr>
                <w:t xml:space="preserve"> incorporation in </w:t>
              </w:r>
              <w:proofErr w:type="spellStart"/>
              <w:r>
                <w:rPr>
                  <w:rStyle w:val="Lienhypertexte"/>
                  <w:sz w:val="16"/>
                </w:rPr>
                <w:t>hedge</w:t>
              </w:r>
              <w:proofErr w:type="spellEnd"/>
              <w:r>
                <w:rPr>
                  <w:rStyle w:val="Lienhypertexte"/>
                  <w:sz w:val="16"/>
                </w:rPr>
                <w:t xml:space="preserve"> </w:t>
              </w:r>
              <w:proofErr w:type="spellStart"/>
              <w:r>
                <w:rPr>
                  <w:rStyle w:val="Lienhypertexte"/>
                  <w:sz w:val="16"/>
                </w:rPr>
                <w:t>funds</w:t>
              </w:r>
              <w:proofErr w:type="spellEnd"/>
              <w:r>
                <w:rPr>
                  <w:rStyle w:val="Lienhypertexte"/>
                  <w:sz w:val="16"/>
                </w:rPr>
                <w:t xml:space="preserve"> (Guide technique</w:t>
              </w:r>
              <w:r w:rsidR="00767929">
                <w:rPr>
                  <w:rStyle w:val="Lienhypertexte"/>
                  <w:sz w:val="16"/>
                </w:rPr>
                <w:t> :</w:t>
              </w:r>
              <w:r>
                <w:rPr>
                  <w:rStyle w:val="Lienhypertexte"/>
                  <w:sz w:val="16"/>
                </w:rPr>
                <w:t xml:space="preserve"> la prise en compte des critères ESG dans les fonds spéculatifs (</w:t>
              </w:r>
              <w:proofErr w:type="spellStart"/>
              <w:r>
                <w:rPr>
                  <w:rStyle w:val="Lienhypertexte"/>
                  <w:i/>
                  <w:iCs/>
                  <w:sz w:val="16"/>
                </w:rPr>
                <w:t>hedge</w:t>
              </w:r>
              <w:proofErr w:type="spellEnd"/>
              <w:r>
                <w:rPr>
                  <w:rStyle w:val="Lienhypertexte"/>
                  <w:i/>
                  <w:iCs/>
                  <w:sz w:val="16"/>
                </w:rPr>
                <w:t xml:space="preserve"> </w:t>
              </w:r>
              <w:proofErr w:type="spellStart"/>
              <w:r>
                <w:rPr>
                  <w:rStyle w:val="Lienhypertexte"/>
                  <w:i/>
                  <w:iCs/>
                  <w:sz w:val="16"/>
                </w:rPr>
                <w:t>funds</w:t>
              </w:r>
              <w:proofErr w:type="spellEnd"/>
              <w:r>
                <w:rPr>
                  <w:rStyle w:val="Lienhypertexte"/>
                  <w:sz w:val="16"/>
                </w:rPr>
                <w:t>))</w:t>
              </w:r>
            </w:hyperlink>
            <w:r>
              <w:rPr>
                <w:rStyle w:val="Lienhypertexte"/>
                <w:color w:val="auto"/>
                <w:sz w:val="16"/>
              </w:rPr>
              <w:t>,</w:t>
            </w:r>
            <w:r>
              <w:rPr>
                <w:rStyle w:val="Lienhypertexte"/>
                <w:color w:val="000000" w:themeColor="text1"/>
                <w:sz w:val="16"/>
              </w:rPr>
              <w:t xml:space="preserve"> qui fournit un cadre aux sociétés de gestion pour prendre en compte les critères ESG majeurs dans les stratégies relatives aux fonds spéculatifs.</w:t>
            </w:r>
          </w:p>
        </w:tc>
      </w:tr>
      <w:tr w:rsidR="00B66A9B" w:rsidRPr="003058F5" w14:paraId="2BB8B51C" w14:textId="77777777" w:rsidTr="00F15919">
        <w:trPr>
          <w:gridAfter w:val="2"/>
          <w:wAfter w:w="16" w:type="dxa"/>
          <w:trHeight w:val="300"/>
        </w:trPr>
        <w:tc>
          <w:tcPr>
            <w:tcW w:w="14868" w:type="dxa"/>
            <w:gridSpan w:val="19"/>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0070C0"/>
            <w:vAlign w:val="center"/>
          </w:tcPr>
          <w:p w14:paraId="5C044ADC" w14:textId="77777777" w:rsidR="00B66A9B" w:rsidRPr="003058F5" w:rsidRDefault="00B66A9B" w:rsidP="00B66A9B">
            <w:pPr>
              <w:rPr>
                <w:color w:val="FFFFFF" w:themeColor="background1"/>
                <w:sz w:val="16"/>
                <w:szCs w:val="16"/>
              </w:rPr>
            </w:pPr>
            <w:r>
              <w:rPr>
                <w:b/>
                <w:color w:val="FFFFFF" w:themeColor="background1"/>
                <w:sz w:val="18"/>
              </w:rPr>
              <w:lastRenderedPageBreak/>
              <w:t>Logique</w:t>
            </w:r>
          </w:p>
        </w:tc>
      </w:tr>
      <w:tr w:rsidR="00A966F3" w:rsidRPr="003058F5" w14:paraId="064FBA10" w14:textId="77777777" w:rsidTr="00F15919">
        <w:trPr>
          <w:gridAfter w:val="2"/>
          <w:wAfter w:w="16" w:type="dxa"/>
          <w:trHeight w:val="300"/>
        </w:trPr>
        <w:tc>
          <w:tcPr>
            <w:tcW w:w="1808"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808CF2F" w14:textId="77777777" w:rsidR="00A966F3" w:rsidRPr="003058F5" w:rsidRDefault="00A966F3" w:rsidP="00A966F3">
            <w:pPr>
              <w:rPr>
                <w:b/>
                <w:bCs/>
                <w:sz w:val="16"/>
                <w:szCs w:val="16"/>
              </w:rPr>
            </w:pPr>
            <w:r>
              <w:rPr>
                <w:b/>
                <w:sz w:val="16"/>
              </w:rPr>
              <w:t>Lien avec</w:t>
            </w:r>
          </w:p>
        </w:tc>
        <w:tc>
          <w:tcPr>
            <w:tcW w:w="13060" w:type="dxa"/>
            <w:gridSpan w:val="17"/>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5011A03" w14:textId="3F893E06" w:rsidR="00A966F3" w:rsidRPr="003058F5" w:rsidRDefault="00BA61E4" w:rsidP="00F15919">
            <w:pPr>
              <w:ind w:left="1440" w:hanging="1440"/>
              <w:rPr>
                <w:color w:val="000000" w:themeColor="text1"/>
                <w:sz w:val="16"/>
                <w:szCs w:val="16"/>
              </w:rPr>
            </w:pPr>
            <w:r>
              <w:rPr>
                <w:color w:val="000000" w:themeColor="text1"/>
                <w:sz w:val="16"/>
              </w:rPr>
              <w:t>[OO 21]</w:t>
            </w:r>
          </w:p>
        </w:tc>
      </w:tr>
      <w:tr w:rsidR="00B66A9B" w:rsidRPr="003058F5" w14:paraId="72AF8911" w14:textId="77777777" w:rsidTr="00F15919">
        <w:trPr>
          <w:gridAfter w:val="2"/>
          <w:wAfter w:w="16" w:type="dxa"/>
          <w:trHeight w:val="300"/>
        </w:trPr>
        <w:tc>
          <w:tcPr>
            <w:tcW w:w="1808"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BA1AA8A" w14:textId="77777777" w:rsidR="00B66A9B" w:rsidRPr="003058F5" w:rsidRDefault="00B66A9B" w:rsidP="00B66A9B">
            <w:pPr>
              <w:rPr>
                <w:b/>
                <w:bCs/>
                <w:sz w:val="16"/>
                <w:szCs w:val="16"/>
              </w:rPr>
            </w:pPr>
            <w:r>
              <w:rPr>
                <w:b/>
                <w:sz w:val="16"/>
              </w:rPr>
              <w:t>Accès à</w:t>
            </w:r>
          </w:p>
        </w:tc>
        <w:tc>
          <w:tcPr>
            <w:tcW w:w="13060" w:type="dxa"/>
            <w:gridSpan w:val="17"/>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441848D9" w14:textId="639095DF" w:rsidR="00B66A9B" w:rsidRPr="003058F5" w:rsidRDefault="00B6789E" w:rsidP="00B66A9B">
            <w:pPr>
              <w:rPr>
                <w:color w:val="000000" w:themeColor="text1"/>
                <w:sz w:val="16"/>
                <w:szCs w:val="16"/>
              </w:rPr>
            </w:pPr>
            <w:r>
              <w:rPr>
                <w:color w:val="000000" w:themeColor="text1"/>
                <w:sz w:val="16"/>
              </w:rPr>
              <w:t>Sans objet</w:t>
            </w:r>
          </w:p>
        </w:tc>
      </w:tr>
      <w:tr w:rsidR="00B66A9B" w:rsidRPr="003058F5" w14:paraId="17338293" w14:textId="77777777" w:rsidTr="00F15919">
        <w:trPr>
          <w:gridAfter w:val="2"/>
          <w:wAfter w:w="16" w:type="dxa"/>
          <w:trHeight w:val="300"/>
        </w:trPr>
        <w:tc>
          <w:tcPr>
            <w:tcW w:w="14868" w:type="dxa"/>
            <w:gridSpan w:val="19"/>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0070C0"/>
            <w:vAlign w:val="center"/>
          </w:tcPr>
          <w:p w14:paraId="532A4204" w14:textId="77777777" w:rsidR="00B66A9B" w:rsidRPr="003058F5" w:rsidRDefault="00B66A9B" w:rsidP="00B66A9B">
            <w:pPr>
              <w:rPr>
                <w:rFonts w:eastAsia="Times New Roman" w:cs="Arial"/>
                <w:b/>
                <w:bCs/>
                <w:color w:val="FFFFFF" w:themeColor="background1"/>
                <w:sz w:val="18"/>
                <w:szCs w:val="18"/>
              </w:rPr>
            </w:pPr>
            <w:r>
              <w:rPr>
                <w:b/>
                <w:color w:val="FFFFFF" w:themeColor="background1"/>
                <w:sz w:val="18"/>
              </w:rPr>
              <w:t>Évaluation</w:t>
            </w:r>
          </w:p>
        </w:tc>
      </w:tr>
      <w:tr w:rsidR="00CC4748" w:rsidRPr="003058F5" w14:paraId="4488877E" w14:textId="77777777" w:rsidTr="00A966F3">
        <w:trPr>
          <w:gridBefore w:val="1"/>
          <w:gridAfter w:val="2"/>
          <w:wBefore w:w="6" w:type="dxa"/>
          <w:wAfter w:w="16" w:type="dxa"/>
          <w:trHeight w:val="354"/>
        </w:trPr>
        <w:tc>
          <w:tcPr>
            <w:tcW w:w="1802" w:type="dxa"/>
            <w:shd w:val="clear" w:color="auto" w:fill="auto"/>
            <w:vAlign w:val="center"/>
          </w:tcPr>
          <w:p w14:paraId="406197AA" w14:textId="6D852068" w:rsidR="00CC4748" w:rsidRPr="003058F5" w:rsidRDefault="00CC4748" w:rsidP="00B66A9B">
            <w:pPr>
              <w:rPr>
                <w:b/>
                <w:sz w:val="16"/>
                <w:szCs w:val="16"/>
              </w:rPr>
            </w:pPr>
            <w:r>
              <w:rPr>
                <w:b/>
                <w:sz w:val="16"/>
              </w:rPr>
              <w:t>Critères d'évaluation</w:t>
            </w:r>
          </w:p>
        </w:tc>
        <w:tc>
          <w:tcPr>
            <w:tcW w:w="13060" w:type="dxa"/>
            <w:gridSpan w:val="17"/>
            <w:shd w:val="clear" w:color="auto" w:fill="auto"/>
            <w:vAlign w:val="center"/>
          </w:tcPr>
          <w:p w14:paraId="26451D7A" w14:textId="50881143" w:rsidR="00CC4748" w:rsidRPr="003058F5" w:rsidDel="006E39F2" w:rsidRDefault="00321096" w:rsidP="00B66A9B">
            <w:pPr>
              <w:rPr>
                <w:rStyle w:val="Lienhypertexte"/>
                <w:color w:val="000000" w:themeColor="text1"/>
                <w:sz w:val="16"/>
                <w:szCs w:val="16"/>
              </w:rPr>
            </w:pPr>
            <w:r>
              <w:rPr>
                <w:rStyle w:val="Lienhypertexte"/>
                <w:color w:val="000000" w:themeColor="text1"/>
                <w:sz w:val="16"/>
              </w:rPr>
              <w:t>Les 100 points de cet indicateur sont répartis entre les options désignées par une lettre (50 points) et celles relatives au périmètre couvert (50 points). La note finale sera fondée sur les trois meilleures combinaisons d'options désignées par des lettres et des chiffres.</w:t>
            </w:r>
          </w:p>
        </w:tc>
      </w:tr>
      <w:tr w:rsidR="00A93B99" w:rsidRPr="003058F5" w14:paraId="390AEFA7" w14:textId="77777777" w:rsidTr="00A966F3">
        <w:trPr>
          <w:gridBefore w:val="1"/>
          <w:gridAfter w:val="1"/>
          <w:wBefore w:w="6" w:type="dxa"/>
          <w:wAfter w:w="8" w:type="dxa"/>
          <w:trHeight w:val="354"/>
        </w:trPr>
        <w:tc>
          <w:tcPr>
            <w:tcW w:w="1802" w:type="dxa"/>
            <w:shd w:val="clear" w:color="auto" w:fill="auto"/>
            <w:vAlign w:val="center"/>
          </w:tcPr>
          <w:p w14:paraId="2E250331" w14:textId="3A0B74C9" w:rsidR="00C72172" w:rsidRPr="003058F5" w:rsidRDefault="00C72172" w:rsidP="00B66A9B">
            <w:pPr>
              <w:rPr>
                <w:b/>
                <w:sz w:val="16"/>
                <w:szCs w:val="16"/>
              </w:rPr>
            </w:pPr>
          </w:p>
        </w:tc>
        <w:tc>
          <w:tcPr>
            <w:tcW w:w="3580" w:type="dxa"/>
            <w:gridSpan w:val="4"/>
            <w:shd w:val="clear" w:color="auto" w:fill="auto"/>
            <w:vAlign w:val="center"/>
          </w:tcPr>
          <w:p w14:paraId="6825C6C0" w14:textId="7E47E49E" w:rsidR="00834333" w:rsidRPr="003058F5" w:rsidRDefault="00834333" w:rsidP="00834333">
            <w:pPr>
              <w:rPr>
                <w:rStyle w:val="Lienhypertexte"/>
                <w:color w:val="000000" w:themeColor="text1"/>
                <w:sz w:val="16"/>
                <w:szCs w:val="16"/>
              </w:rPr>
            </w:pPr>
            <w:r>
              <w:rPr>
                <w:rStyle w:val="Lienhypertexte"/>
                <w:color w:val="000000" w:themeColor="text1"/>
                <w:sz w:val="16"/>
              </w:rPr>
              <w:t>50 points pour les options désignées par une lettre</w:t>
            </w:r>
            <w:r w:rsidR="00767929">
              <w:rPr>
                <w:rStyle w:val="Lienhypertexte"/>
                <w:color w:val="000000" w:themeColor="text1"/>
                <w:sz w:val="16"/>
              </w:rPr>
              <w:t> :</w:t>
            </w:r>
          </w:p>
          <w:p w14:paraId="0C469130" w14:textId="77777777" w:rsidR="00834333" w:rsidRPr="003058F5" w:rsidRDefault="00834333" w:rsidP="00834333">
            <w:pPr>
              <w:rPr>
                <w:rStyle w:val="Lienhypertexte"/>
                <w:color w:val="000000" w:themeColor="text1"/>
                <w:sz w:val="16"/>
                <w:szCs w:val="16"/>
              </w:rPr>
            </w:pPr>
          </w:p>
          <w:p w14:paraId="0A3CA553" w14:textId="72097A38" w:rsidR="00834333" w:rsidRPr="003058F5" w:rsidRDefault="00834333" w:rsidP="00834333">
            <w:pPr>
              <w:rPr>
                <w:rStyle w:val="Lienhypertexte"/>
                <w:color w:val="auto"/>
                <w:sz w:val="16"/>
                <w:szCs w:val="16"/>
              </w:rPr>
            </w:pPr>
            <w:r>
              <w:rPr>
                <w:rStyle w:val="Lienhypertexte"/>
                <w:color w:val="auto"/>
                <w:sz w:val="16"/>
              </w:rPr>
              <w:t>50 points pour les 3 options de A</w:t>
            </w:r>
            <w:r>
              <w:rPr>
                <w:sz w:val="16"/>
              </w:rPr>
              <w:t xml:space="preserve"> à C</w:t>
            </w:r>
            <w:r>
              <w:rPr>
                <w:rStyle w:val="Lienhypertexte"/>
                <w:color w:val="auto"/>
                <w:sz w:val="16"/>
              </w:rPr>
              <w:t>.</w:t>
            </w:r>
          </w:p>
          <w:p w14:paraId="17F00149" w14:textId="60951993" w:rsidR="00834333" w:rsidRPr="003058F5" w:rsidRDefault="00834333" w:rsidP="00834333">
            <w:pPr>
              <w:rPr>
                <w:rStyle w:val="Lienhypertexte"/>
                <w:color w:val="auto"/>
                <w:sz w:val="16"/>
                <w:szCs w:val="16"/>
              </w:rPr>
            </w:pPr>
            <w:r>
              <w:rPr>
                <w:rStyle w:val="Lienhypertexte"/>
                <w:color w:val="auto"/>
                <w:sz w:val="16"/>
              </w:rPr>
              <w:t>40 points pour les deux options A et B.</w:t>
            </w:r>
          </w:p>
          <w:p w14:paraId="03F6BDA4" w14:textId="365F5B28" w:rsidR="00834333" w:rsidRPr="003058F5" w:rsidRDefault="00834333" w:rsidP="5B161C1C">
            <w:pPr>
              <w:rPr>
                <w:rStyle w:val="Lienhypertexte"/>
                <w:color w:val="auto"/>
                <w:sz w:val="16"/>
                <w:szCs w:val="16"/>
              </w:rPr>
            </w:pPr>
            <w:r>
              <w:rPr>
                <w:rStyle w:val="Lienhypertexte"/>
                <w:color w:val="auto"/>
                <w:sz w:val="16"/>
              </w:rPr>
              <w:t xml:space="preserve">30 points pour les deux options A et C OU pour les deux options B et C. </w:t>
            </w:r>
          </w:p>
          <w:p w14:paraId="6D6E09AF" w14:textId="0338EF51" w:rsidR="00834333" w:rsidRPr="003058F5" w:rsidRDefault="00834333" w:rsidP="00834333">
            <w:pPr>
              <w:rPr>
                <w:rStyle w:val="Lienhypertexte"/>
                <w:color w:val="auto"/>
                <w:sz w:val="16"/>
                <w:szCs w:val="16"/>
              </w:rPr>
            </w:pPr>
            <w:r>
              <w:rPr>
                <w:rStyle w:val="Lienhypertexte"/>
                <w:color w:val="auto"/>
                <w:sz w:val="16"/>
              </w:rPr>
              <w:t>20 points pour 1 réponse cochée parmi les options A et B.</w:t>
            </w:r>
          </w:p>
          <w:p w14:paraId="3176794F" w14:textId="77777777" w:rsidR="00834333" w:rsidRPr="003058F5" w:rsidRDefault="00834333" w:rsidP="00834333">
            <w:pPr>
              <w:rPr>
                <w:rStyle w:val="Lienhypertexte"/>
                <w:color w:val="auto"/>
                <w:sz w:val="16"/>
                <w:szCs w:val="16"/>
              </w:rPr>
            </w:pPr>
            <w:r>
              <w:rPr>
                <w:rStyle w:val="Lienhypertexte"/>
                <w:color w:val="auto"/>
                <w:sz w:val="16"/>
              </w:rPr>
              <w:t>10 points pour l’option C.</w:t>
            </w:r>
          </w:p>
          <w:p w14:paraId="65F9E513" w14:textId="44067D88" w:rsidR="00C72172" w:rsidRPr="003058F5" w:rsidRDefault="00834333" w:rsidP="00B66A9B">
            <w:pPr>
              <w:rPr>
                <w:rStyle w:val="Lienhypertexte"/>
                <w:color w:val="000000" w:themeColor="text1"/>
                <w:sz w:val="16"/>
                <w:szCs w:val="16"/>
              </w:rPr>
            </w:pPr>
            <w:r>
              <w:rPr>
                <w:rStyle w:val="Lienhypertexte"/>
                <w:color w:val="000000" w:themeColor="text1"/>
                <w:sz w:val="16"/>
              </w:rPr>
              <w:t>0 point pour les options D et E.</w:t>
            </w:r>
          </w:p>
        </w:tc>
        <w:tc>
          <w:tcPr>
            <w:tcW w:w="709" w:type="dxa"/>
            <w:gridSpan w:val="2"/>
            <w:shd w:val="clear" w:color="auto" w:fill="auto"/>
            <w:vAlign w:val="center"/>
          </w:tcPr>
          <w:p w14:paraId="2D2FFF82" w14:textId="0573B3A9" w:rsidR="00C72172" w:rsidRPr="003058F5" w:rsidRDefault="00C72172" w:rsidP="00B66A9B">
            <w:pPr>
              <w:rPr>
                <w:rStyle w:val="Lienhypertexte"/>
                <w:color w:val="000000" w:themeColor="text1"/>
                <w:sz w:val="16"/>
                <w:szCs w:val="16"/>
              </w:rPr>
            </w:pPr>
            <w:r>
              <w:rPr>
                <w:rStyle w:val="Lienhypertexte"/>
                <w:b/>
                <w:color w:val="000000" w:themeColor="text1"/>
                <w:sz w:val="16"/>
              </w:rPr>
              <w:t>ET</w:t>
            </w:r>
          </w:p>
        </w:tc>
        <w:tc>
          <w:tcPr>
            <w:tcW w:w="4248" w:type="dxa"/>
            <w:gridSpan w:val="5"/>
            <w:shd w:val="clear" w:color="auto" w:fill="auto"/>
            <w:vAlign w:val="center"/>
          </w:tcPr>
          <w:p w14:paraId="6953F41A" w14:textId="271A7697" w:rsidR="003A5384" w:rsidRPr="003058F5" w:rsidRDefault="003A5384" w:rsidP="003A5384">
            <w:pPr>
              <w:rPr>
                <w:color w:val="000000" w:themeColor="text1"/>
                <w:sz w:val="16"/>
                <w:szCs w:val="16"/>
              </w:rPr>
            </w:pPr>
            <w:r>
              <w:rPr>
                <w:color w:val="000000" w:themeColor="text1"/>
                <w:sz w:val="16"/>
              </w:rPr>
              <w:t>50 points pour le périmètre couvert</w:t>
            </w:r>
            <w:r w:rsidR="00767929">
              <w:rPr>
                <w:color w:val="000000" w:themeColor="text1"/>
                <w:sz w:val="16"/>
              </w:rPr>
              <w:t> :</w:t>
            </w:r>
          </w:p>
          <w:p w14:paraId="54C869BA" w14:textId="77777777" w:rsidR="003A5384" w:rsidRPr="003058F5" w:rsidDel="002C5D1A" w:rsidRDefault="003A5384" w:rsidP="003A5384">
            <w:pPr>
              <w:rPr>
                <w:color w:val="000000" w:themeColor="text1"/>
                <w:sz w:val="16"/>
                <w:szCs w:val="16"/>
              </w:rPr>
            </w:pPr>
          </w:p>
          <w:p w14:paraId="278CEE12" w14:textId="3D4435A1" w:rsidR="003A5384" w:rsidRPr="003058F5" w:rsidRDefault="003A5384" w:rsidP="003A5384">
            <w:pPr>
              <w:rPr>
                <w:color w:val="000000" w:themeColor="text1"/>
                <w:sz w:val="16"/>
                <w:szCs w:val="16"/>
              </w:rPr>
            </w:pPr>
            <w:r>
              <w:rPr>
                <w:color w:val="000000" w:themeColor="text1"/>
                <w:sz w:val="16"/>
              </w:rPr>
              <w:t>Pour les réponses A à C, chaque option est notée comme suit</w:t>
            </w:r>
            <w:r w:rsidR="00767929">
              <w:rPr>
                <w:color w:val="000000" w:themeColor="text1"/>
                <w:sz w:val="16"/>
              </w:rPr>
              <w:t> :</w:t>
            </w:r>
          </w:p>
          <w:p w14:paraId="6495F8C9" w14:textId="77777777" w:rsidR="003A5384" w:rsidRPr="003058F5" w:rsidRDefault="003A5384" w:rsidP="003A5384">
            <w:pPr>
              <w:rPr>
                <w:color w:val="000000" w:themeColor="text1"/>
                <w:sz w:val="16"/>
                <w:szCs w:val="16"/>
              </w:rPr>
            </w:pPr>
            <w:r>
              <w:rPr>
                <w:color w:val="000000" w:themeColor="text1"/>
                <w:sz w:val="16"/>
              </w:rPr>
              <w:t>50/3 points pour toutes les options (1) cochées.</w:t>
            </w:r>
          </w:p>
          <w:p w14:paraId="68762576" w14:textId="3A41AB7A" w:rsidR="003A5384" w:rsidRPr="003058F5" w:rsidRDefault="003A5384" w:rsidP="003A5384">
            <w:pPr>
              <w:rPr>
                <w:color w:val="000000" w:themeColor="text1"/>
                <w:sz w:val="16"/>
                <w:szCs w:val="16"/>
              </w:rPr>
            </w:pPr>
            <w:r>
              <w:rPr>
                <w:color w:val="000000" w:themeColor="text1"/>
                <w:sz w:val="16"/>
              </w:rPr>
              <w:t>25/3 points pour la majorité d’options (2) cochées.</w:t>
            </w:r>
          </w:p>
          <w:p w14:paraId="78052B0F" w14:textId="045C31E1" w:rsidR="00C72172" w:rsidRPr="003058F5" w:rsidRDefault="003A5384" w:rsidP="00B66A9B">
            <w:pPr>
              <w:rPr>
                <w:rStyle w:val="Lienhypertexte"/>
                <w:color w:val="000000" w:themeColor="text1"/>
                <w:sz w:val="16"/>
                <w:szCs w:val="16"/>
              </w:rPr>
            </w:pPr>
            <w:r>
              <w:rPr>
                <w:color w:val="000000" w:themeColor="text1"/>
                <w:sz w:val="16"/>
              </w:rPr>
              <w:t>12/3 points pour une minorité d’options (3) cochées.</w:t>
            </w:r>
          </w:p>
        </w:tc>
        <w:tc>
          <w:tcPr>
            <w:tcW w:w="4531" w:type="dxa"/>
            <w:gridSpan w:val="7"/>
            <w:shd w:val="clear" w:color="auto" w:fill="auto"/>
            <w:vAlign w:val="center"/>
          </w:tcPr>
          <w:p w14:paraId="3E06A801" w14:textId="7CCA32DB" w:rsidR="004B6127" w:rsidRPr="003058F5" w:rsidRDefault="004B6127" w:rsidP="005D4151">
            <w:pPr>
              <w:rPr>
                <w:rStyle w:val="Lienhypertexte"/>
                <w:color w:val="auto"/>
                <w:sz w:val="16"/>
                <w:szCs w:val="16"/>
              </w:rPr>
            </w:pPr>
            <w:r>
              <w:rPr>
                <w:rStyle w:val="Lienhypertexte"/>
                <w:color w:val="auto"/>
                <w:sz w:val="16"/>
              </w:rPr>
              <w:t>Autres informations</w:t>
            </w:r>
            <w:r w:rsidR="00767929">
              <w:rPr>
                <w:rStyle w:val="Lienhypertexte"/>
                <w:color w:val="auto"/>
                <w:sz w:val="16"/>
              </w:rPr>
              <w:t> :</w:t>
            </w:r>
          </w:p>
          <w:p w14:paraId="20680D4D" w14:textId="77777777" w:rsidR="004B6127" w:rsidRPr="003058F5" w:rsidRDefault="004B6127" w:rsidP="005D4151">
            <w:pPr>
              <w:rPr>
                <w:rStyle w:val="Lienhypertexte"/>
                <w:color w:val="auto"/>
                <w:sz w:val="16"/>
                <w:szCs w:val="16"/>
              </w:rPr>
            </w:pPr>
          </w:p>
          <w:p w14:paraId="6E5ACB43" w14:textId="5517C357" w:rsidR="004B6127" w:rsidRPr="003058F5" w:rsidRDefault="00386F8F" w:rsidP="005D4151">
            <w:pPr>
              <w:rPr>
                <w:rFonts w:cs="Arial"/>
                <w:color w:val="000000" w:themeColor="text1"/>
                <w:sz w:val="16"/>
                <w:szCs w:val="16"/>
              </w:rPr>
            </w:pPr>
            <w:r>
              <w:rPr>
                <w:sz w:val="16"/>
              </w:rPr>
              <w:t xml:space="preserve">Si vous sélectionnez </w:t>
            </w:r>
            <w:r w:rsidR="00FC3BD3">
              <w:rPr>
                <w:sz w:val="16"/>
              </w:rPr>
              <w:t>« </w:t>
            </w:r>
            <w:r>
              <w:rPr>
                <w:sz w:val="16"/>
              </w:rPr>
              <w:t>D</w:t>
            </w:r>
            <w:r w:rsidR="00FC3BD3">
              <w:rPr>
                <w:sz w:val="16"/>
              </w:rPr>
              <w:t> »</w:t>
            </w:r>
            <w:r>
              <w:rPr>
                <w:sz w:val="16"/>
              </w:rPr>
              <w:t xml:space="preserve"> ou </w:t>
            </w:r>
            <w:r w:rsidR="00FC3BD3">
              <w:rPr>
                <w:sz w:val="16"/>
              </w:rPr>
              <w:t>« </w:t>
            </w:r>
            <w:r>
              <w:rPr>
                <w:sz w:val="16"/>
              </w:rPr>
              <w:t>E</w:t>
            </w:r>
            <w:r w:rsidR="00FC3BD3">
              <w:rPr>
                <w:sz w:val="16"/>
              </w:rPr>
              <w:t> »</w:t>
            </w:r>
            <w:r>
              <w:rPr>
                <w:sz w:val="16"/>
              </w:rPr>
              <w:t>, vous obtiendrez une note de 0/100 points pour cet indicateur.</w:t>
            </w:r>
          </w:p>
          <w:p w14:paraId="5510DF10" w14:textId="77777777" w:rsidR="00C72172" w:rsidRPr="003058F5" w:rsidRDefault="00C72172" w:rsidP="00B66A9B">
            <w:pPr>
              <w:rPr>
                <w:rFonts w:cs="Arial"/>
                <w:sz w:val="16"/>
                <w:szCs w:val="16"/>
              </w:rPr>
            </w:pPr>
          </w:p>
          <w:p w14:paraId="5CF834B5" w14:textId="28C9DC8B" w:rsidR="00C72172" w:rsidRPr="003058F5" w:rsidRDefault="009E52A2" w:rsidP="00B66A9B">
            <w:pPr>
              <w:rPr>
                <w:rStyle w:val="Lienhypertexte"/>
                <w:color w:val="000000" w:themeColor="text1"/>
              </w:rPr>
            </w:pPr>
            <w:r>
              <w:rPr>
                <w:color w:val="000000" w:themeColor="text1"/>
                <w:sz w:val="16"/>
              </w:rPr>
              <w:t>Le nombre de types de stratégies applicables n'affectera pas les points disponibles pour cet indicateur, car chaque stratégie recevra une note distincte.</w:t>
            </w:r>
          </w:p>
        </w:tc>
      </w:tr>
      <w:tr w:rsidR="00B66A9B" w:rsidRPr="003058F5" w14:paraId="3707B1B8" w14:textId="77777777" w:rsidTr="00F15919">
        <w:trPr>
          <w:gridAfter w:val="2"/>
          <w:wAfter w:w="16" w:type="dxa"/>
          <w:trHeight w:val="300"/>
        </w:trPr>
        <w:tc>
          <w:tcPr>
            <w:tcW w:w="1808"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0DCBDF77" w14:textId="77777777" w:rsidR="00B66A9B" w:rsidRPr="0067116E" w:rsidDel="002635ED" w:rsidRDefault="00B66A9B" w:rsidP="00B66A9B">
            <w:pPr>
              <w:spacing w:line="240" w:lineRule="auto"/>
              <w:rPr>
                <w:b/>
                <w:bCs/>
                <w:sz w:val="16"/>
                <w:szCs w:val="16"/>
              </w:rPr>
            </w:pPr>
            <w:r>
              <w:rPr>
                <w:b/>
                <w:sz w:val="16"/>
              </w:rPr>
              <w:t>Multiplicateur</w:t>
            </w:r>
          </w:p>
        </w:tc>
        <w:tc>
          <w:tcPr>
            <w:tcW w:w="13060" w:type="dxa"/>
            <w:gridSpan w:val="17"/>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1488AF5" w14:textId="0BD58F39" w:rsidR="00B66A9B" w:rsidRPr="0067116E" w:rsidRDefault="0060497C" w:rsidP="00B66A9B">
            <w:pPr>
              <w:rPr>
                <w:rStyle w:val="Lienhypertexte"/>
                <w:color w:val="000000" w:themeColor="text1"/>
              </w:rPr>
            </w:pPr>
            <w:r>
              <w:rPr>
                <w:rStyle w:val="Lienhypertexte"/>
                <w:color w:val="000000" w:themeColor="text1"/>
                <w:sz w:val="16"/>
              </w:rPr>
              <w:t xml:space="preserve">Le multiplicateur sera confirmé avant le cycle de </w:t>
            </w:r>
            <w:proofErr w:type="spellStart"/>
            <w:r>
              <w:rPr>
                <w:rStyle w:val="Lienhypertexte"/>
                <w:color w:val="000000" w:themeColor="text1"/>
                <w:sz w:val="16"/>
              </w:rPr>
              <w:t>reporting</w:t>
            </w:r>
            <w:proofErr w:type="spellEnd"/>
            <w:r>
              <w:rPr>
                <w:rStyle w:val="Lienhypertexte"/>
                <w:color w:val="000000" w:themeColor="text1"/>
                <w:sz w:val="16"/>
              </w:rPr>
              <w:t xml:space="preserve"> 2023 qui débutera à la mi-mai. </w:t>
            </w:r>
          </w:p>
        </w:tc>
      </w:tr>
    </w:tbl>
    <w:p w14:paraId="4BF320DC" w14:textId="3BF41812" w:rsidR="009372A4" w:rsidRPr="003058F5" w:rsidRDefault="009372A4">
      <w:pPr>
        <w:spacing w:after="160" w:line="259" w:lineRule="auto"/>
        <w:rPr>
          <w:sz w:val="16"/>
          <w:szCs w:val="16"/>
        </w:rPr>
      </w:pPr>
    </w:p>
    <w:p w14:paraId="5FE8A5DF" w14:textId="77777777" w:rsidR="005B6C68" w:rsidRPr="003058F5" w:rsidRDefault="005B6C68">
      <w:pPr>
        <w:spacing w:after="160" w:line="259" w:lineRule="auto"/>
        <w:rPr>
          <w:sz w:val="16"/>
          <w:szCs w:val="16"/>
        </w:rPr>
      </w:pPr>
      <w:r>
        <w:br w:type="page"/>
      </w:r>
    </w:p>
    <w:p w14:paraId="7FE4FDAB" w14:textId="59E63610" w:rsidR="005B6C68" w:rsidRPr="003058F5" w:rsidRDefault="009578F6" w:rsidP="005B6C68">
      <w:pPr>
        <w:pStyle w:val="Titre2"/>
        <w:tabs>
          <w:tab w:val="left" w:pos="12758"/>
        </w:tabs>
      </w:pPr>
      <w:bookmarkStart w:id="12" w:name="_Toc128064104"/>
      <w:r>
        <w:lastRenderedPageBreak/>
        <w:t>Suivi des tendances ESG [HF 3]</w:t>
      </w:r>
      <w:bookmarkEnd w:id="12"/>
    </w:p>
    <w:tbl>
      <w:tblPr>
        <w:tblW w:w="14742"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Layout w:type="fixed"/>
        <w:tblCellMar>
          <w:top w:w="57" w:type="dxa"/>
          <w:left w:w="113" w:type="dxa"/>
          <w:bottom w:w="57" w:type="dxa"/>
          <w:right w:w="113" w:type="dxa"/>
        </w:tblCellMar>
        <w:tblLook w:val="04A0" w:firstRow="1" w:lastRow="0" w:firstColumn="1" w:lastColumn="0" w:noHBand="0" w:noVBand="1"/>
      </w:tblPr>
      <w:tblGrid>
        <w:gridCol w:w="1837"/>
        <w:gridCol w:w="1532"/>
        <w:gridCol w:w="1262"/>
        <w:gridCol w:w="1263"/>
        <w:gridCol w:w="477"/>
        <w:gridCol w:w="786"/>
        <w:gridCol w:w="1263"/>
        <w:gridCol w:w="1262"/>
        <w:gridCol w:w="1151"/>
        <w:gridCol w:w="112"/>
        <w:gridCol w:w="1262"/>
        <w:gridCol w:w="570"/>
        <w:gridCol w:w="694"/>
        <w:gridCol w:w="1263"/>
        <w:gridCol w:w="8"/>
      </w:tblGrid>
      <w:tr w:rsidR="008B2326" w:rsidRPr="003058F5" w14:paraId="5E21233A" w14:textId="77777777" w:rsidTr="00177502">
        <w:trPr>
          <w:gridAfter w:val="1"/>
          <w:wAfter w:w="8" w:type="dxa"/>
          <w:trHeight w:val="367"/>
        </w:trPr>
        <w:tc>
          <w:tcPr>
            <w:tcW w:w="1837" w:type="dxa"/>
            <w:vMerge w:val="restart"/>
            <w:shd w:val="clear" w:color="auto" w:fill="DFF5F9"/>
            <w:vAlign w:val="center"/>
            <w:hideMark/>
          </w:tcPr>
          <w:p w14:paraId="45A20374" w14:textId="77777777" w:rsidR="00556985" w:rsidRPr="003058F5" w:rsidRDefault="00556985" w:rsidP="00A276C9">
            <w:pPr>
              <w:spacing w:line="240" w:lineRule="auto"/>
              <w:jc w:val="center"/>
              <w:textAlignment w:val="baseline"/>
              <w:rPr>
                <w:rFonts w:eastAsia="Times New Roman" w:cs="Arial"/>
                <w:b/>
                <w:sz w:val="14"/>
                <w:szCs w:val="14"/>
              </w:rPr>
            </w:pPr>
            <w:r>
              <w:rPr>
                <w:b/>
                <w:sz w:val="14"/>
              </w:rPr>
              <w:t>Identifiant de l’indicateur</w:t>
            </w:r>
          </w:p>
          <w:p w14:paraId="736B62A3" w14:textId="77777777" w:rsidR="00556985" w:rsidRPr="003058F5" w:rsidRDefault="00556985" w:rsidP="00A276C9">
            <w:pPr>
              <w:spacing w:line="240" w:lineRule="auto"/>
              <w:jc w:val="center"/>
              <w:textAlignment w:val="baseline"/>
              <w:rPr>
                <w:rFonts w:eastAsia="Times New Roman" w:cs="Arial"/>
                <w:b/>
                <w:sz w:val="14"/>
                <w:szCs w:val="14"/>
                <w:lang w:eastAsia="en-GB"/>
              </w:rPr>
            </w:pPr>
          </w:p>
          <w:p w14:paraId="79B3FDD3" w14:textId="523270F8" w:rsidR="00556985" w:rsidRPr="003058F5" w:rsidRDefault="00556985" w:rsidP="00A276C9">
            <w:pPr>
              <w:pStyle w:val="Indicatorsubsection"/>
              <w:rPr>
                <w:sz w:val="18"/>
                <w:szCs w:val="18"/>
              </w:rPr>
            </w:pPr>
            <w:bookmarkStart w:id="13" w:name="_Toc128064105"/>
            <w:r>
              <w:t>HF 3</w:t>
            </w:r>
            <w:bookmarkEnd w:id="13"/>
          </w:p>
        </w:tc>
        <w:tc>
          <w:tcPr>
            <w:tcW w:w="1532" w:type="dxa"/>
            <w:shd w:val="clear" w:color="auto" w:fill="DFF5F9"/>
            <w:vAlign w:val="center"/>
            <w:hideMark/>
          </w:tcPr>
          <w:p w14:paraId="091D762D" w14:textId="55CB3316" w:rsidR="00556985" w:rsidRPr="003058F5" w:rsidRDefault="00F61763" w:rsidP="00A276C9">
            <w:pPr>
              <w:spacing w:line="240" w:lineRule="auto"/>
              <w:textAlignment w:val="baseline"/>
              <w:rPr>
                <w:rFonts w:eastAsia="Times New Roman" w:cs="Arial"/>
                <w:sz w:val="14"/>
                <w:szCs w:val="14"/>
              </w:rPr>
            </w:pPr>
            <w:r>
              <w:rPr>
                <w:b/>
                <w:sz w:val="14"/>
              </w:rPr>
              <w:t xml:space="preserve">Lien avec : </w:t>
            </w:r>
          </w:p>
        </w:tc>
        <w:tc>
          <w:tcPr>
            <w:tcW w:w="3002" w:type="dxa"/>
            <w:gridSpan w:val="3"/>
            <w:shd w:val="clear" w:color="auto" w:fill="DFF5F9"/>
            <w:vAlign w:val="center"/>
          </w:tcPr>
          <w:p w14:paraId="4A4B4CD3" w14:textId="1AE43934" w:rsidR="00556985" w:rsidRPr="003058F5" w:rsidRDefault="00BA61E4" w:rsidP="00A276C9">
            <w:pPr>
              <w:spacing w:line="240" w:lineRule="auto"/>
              <w:textAlignment w:val="baseline"/>
              <w:rPr>
                <w:rFonts w:eastAsia="Times New Roman" w:cs="Arial"/>
                <w:sz w:val="14"/>
                <w:szCs w:val="14"/>
              </w:rPr>
            </w:pPr>
            <w:r>
              <w:rPr>
                <w:b/>
                <w:sz w:val="22"/>
              </w:rPr>
              <w:t>OO 21</w:t>
            </w:r>
          </w:p>
        </w:tc>
        <w:tc>
          <w:tcPr>
            <w:tcW w:w="4462" w:type="dxa"/>
            <w:gridSpan w:val="4"/>
            <w:vMerge w:val="restart"/>
            <w:shd w:val="clear" w:color="auto" w:fill="DFF5F9"/>
            <w:vAlign w:val="center"/>
          </w:tcPr>
          <w:p w14:paraId="45CF287F" w14:textId="77777777" w:rsidR="00556985" w:rsidRPr="003058F5" w:rsidRDefault="00556985" w:rsidP="00A276C9">
            <w:pPr>
              <w:spacing w:line="240" w:lineRule="auto"/>
              <w:jc w:val="center"/>
              <w:textAlignment w:val="baseline"/>
              <w:rPr>
                <w:rFonts w:eastAsia="Times New Roman" w:cs="Arial"/>
                <w:sz w:val="14"/>
                <w:szCs w:val="14"/>
              </w:rPr>
            </w:pPr>
            <w:r>
              <w:rPr>
                <w:b/>
                <w:sz w:val="14"/>
              </w:rPr>
              <w:t>Sous-section</w:t>
            </w:r>
            <w:r>
              <w:rPr>
                <w:sz w:val="14"/>
              </w:rPr>
              <w:t> </w:t>
            </w:r>
          </w:p>
          <w:p w14:paraId="375174EB" w14:textId="77777777" w:rsidR="00556985" w:rsidRPr="003058F5" w:rsidRDefault="00556985" w:rsidP="00A276C9">
            <w:pPr>
              <w:spacing w:line="240" w:lineRule="auto"/>
              <w:jc w:val="center"/>
              <w:textAlignment w:val="baseline"/>
              <w:rPr>
                <w:rFonts w:eastAsia="Times New Roman" w:cs="Arial"/>
                <w:sz w:val="14"/>
                <w:szCs w:val="14"/>
                <w:lang w:eastAsia="en-GB"/>
              </w:rPr>
            </w:pPr>
          </w:p>
          <w:p w14:paraId="4AFF1A9C" w14:textId="085D1E2A" w:rsidR="00556985" w:rsidRPr="003058F5" w:rsidRDefault="009647EA" w:rsidP="00A276C9">
            <w:pPr>
              <w:jc w:val="center"/>
              <w:rPr>
                <w:sz w:val="18"/>
                <w:szCs w:val="18"/>
              </w:rPr>
            </w:pPr>
            <w:r>
              <w:rPr>
                <w:b/>
                <w:sz w:val="22"/>
              </w:rPr>
              <w:t>Suivi des tendances ESG</w:t>
            </w:r>
          </w:p>
        </w:tc>
        <w:tc>
          <w:tcPr>
            <w:tcW w:w="1944" w:type="dxa"/>
            <w:gridSpan w:val="3"/>
            <w:vMerge w:val="restart"/>
            <w:shd w:val="clear" w:color="auto" w:fill="DFF5F9"/>
            <w:vAlign w:val="center"/>
            <w:hideMark/>
          </w:tcPr>
          <w:p w14:paraId="37ACB833" w14:textId="77777777" w:rsidR="00556985" w:rsidRPr="003058F5" w:rsidRDefault="00556985" w:rsidP="00A276C9">
            <w:pPr>
              <w:spacing w:line="240" w:lineRule="auto"/>
              <w:jc w:val="center"/>
              <w:textAlignment w:val="baseline"/>
              <w:rPr>
                <w:rFonts w:eastAsia="Times New Roman" w:cs="Arial"/>
                <w:b/>
                <w:bCs/>
                <w:sz w:val="14"/>
                <w:szCs w:val="14"/>
              </w:rPr>
            </w:pPr>
            <w:r>
              <w:rPr>
                <w:b/>
                <w:sz w:val="14"/>
              </w:rPr>
              <w:t>Principe des PRI</w:t>
            </w:r>
          </w:p>
          <w:p w14:paraId="78235B15" w14:textId="77777777" w:rsidR="00556985" w:rsidRPr="003058F5" w:rsidRDefault="00556985" w:rsidP="00A276C9">
            <w:pPr>
              <w:spacing w:line="240" w:lineRule="auto"/>
              <w:jc w:val="center"/>
              <w:textAlignment w:val="baseline"/>
              <w:rPr>
                <w:rFonts w:eastAsia="Times New Roman" w:cs="Arial"/>
                <w:b/>
                <w:bCs/>
                <w:sz w:val="14"/>
                <w:szCs w:val="14"/>
                <w:lang w:eastAsia="en-GB"/>
              </w:rPr>
            </w:pPr>
          </w:p>
          <w:p w14:paraId="7F6A3DAB" w14:textId="77777777" w:rsidR="00556985" w:rsidRPr="003058F5" w:rsidRDefault="00556985" w:rsidP="00A276C9">
            <w:pPr>
              <w:spacing w:line="240" w:lineRule="auto"/>
              <w:jc w:val="center"/>
              <w:textAlignment w:val="baseline"/>
              <w:rPr>
                <w:rFonts w:eastAsia="Times New Roman" w:cs="Arial"/>
                <w:sz w:val="18"/>
                <w:szCs w:val="18"/>
              </w:rPr>
            </w:pPr>
            <w:r>
              <w:rPr>
                <w:b/>
                <w:sz w:val="22"/>
              </w:rPr>
              <w:t>1</w:t>
            </w:r>
          </w:p>
        </w:tc>
        <w:tc>
          <w:tcPr>
            <w:tcW w:w="1957" w:type="dxa"/>
            <w:gridSpan w:val="2"/>
            <w:vMerge w:val="restart"/>
            <w:shd w:val="clear" w:color="auto" w:fill="00B0F0"/>
            <w:tcMar>
              <w:top w:w="113" w:type="dxa"/>
              <w:left w:w="113" w:type="dxa"/>
              <w:bottom w:w="113" w:type="dxa"/>
              <w:right w:w="113" w:type="dxa"/>
            </w:tcMar>
            <w:vAlign w:val="center"/>
            <w:hideMark/>
          </w:tcPr>
          <w:p w14:paraId="29CCD1DE" w14:textId="77777777" w:rsidR="00556985" w:rsidRPr="003058F5" w:rsidRDefault="00556985" w:rsidP="00A276C9">
            <w:pPr>
              <w:spacing w:line="240" w:lineRule="auto"/>
              <w:jc w:val="center"/>
              <w:textAlignment w:val="baseline"/>
              <w:rPr>
                <w:rFonts w:eastAsia="Times New Roman" w:cs="Arial"/>
                <w:b/>
                <w:bCs/>
                <w:color w:val="FFFFFF" w:themeColor="background1"/>
                <w:sz w:val="14"/>
                <w:szCs w:val="14"/>
              </w:rPr>
            </w:pPr>
            <w:r>
              <w:rPr>
                <w:b/>
                <w:color w:val="FFFFFF" w:themeColor="background1"/>
                <w:sz w:val="14"/>
              </w:rPr>
              <w:t>Type d'indicateur</w:t>
            </w:r>
          </w:p>
          <w:p w14:paraId="319BF828" w14:textId="77777777" w:rsidR="00556985" w:rsidRPr="003058F5" w:rsidRDefault="00556985" w:rsidP="00A276C9">
            <w:pPr>
              <w:spacing w:line="240" w:lineRule="auto"/>
              <w:jc w:val="center"/>
              <w:textAlignment w:val="baseline"/>
              <w:rPr>
                <w:rFonts w:eastAsia="Times New Roman" w:cs="Arial"/>
                <w:b/>
                <w:bCs/>
                <w:color w:val="FFFFFF" w:themeColor="background1"/>
                <w:sz w:val="14"/>
                <w:szCs w:val="14"/>
                <w:lang w:eastAsia="en-GB"/>
              </w:rPr>
            </w:pPr>
          </w:p>
          <w:p w14:paraId="478BED73" w14:textId="77777777" w:rsidR="00556985" w:rsidRPr="003058F5" w:rsidRDefault="00556985" w:rsidP="00A276C9">
            <w:pPr>
              <w:autoSpaceDE w:val="0"/>
              <w:autoSpaceDN w:val="0"/>
              <w:adjustRightInd w:val="0"/>
              <w:spacing w:line="240" w:lineRule="auto"/>
              <w:jc w:val="center"/>
              <w:rPr>
                <w:rFonts w:eastAsia="Times New Roman" w:cs="Arial"/>
                <w:color w:val="FFFFFF" w:themeColor="background1"/>
                <w:sz w:val="32"/>
                <w:szCs w:val="32"/>
              </w:rPr>
            </w:pPr>
            <w:r>
              <w:rPr>
                <w:b/>
                <w:color w:val="FFFFFF" w:themeColor="background1"/>
                <w:sz w:val="32"/>
              </w:rPr>
              <w:t>CORE</w:t>
            </w:r>
          </w:p>
        </w:tc>
      </w:tr>
      <w:tr w:rsidR="008B2326" w:rsidRPr="003058F5" w14:paraId="4A037FF2" w14:textId="77777777" w:rsidTr="00177502">
        <w:trPr>
          <w:gridAfter w:val="1"/>
          <w:wAfter w:w="8" w:type="dxa"/>
          <w:trHeight w:val="367"/>
        </w:trPr>
        <w:tc>
          <w:tcPr>
            <w:tcW w:w="1837" w:type="dxa"/>
            <w:vMerge/>
            <w:shd w:val="clear" w:color="auto" w:fill="DFF5F9"/>
            <w:vAlign w:val="center"/>
          </w:tcPr>
          <w:p w14:paraId="385148BB" w14:textId="77777777" w:rsidR="00556985" w:rsidRPr="003058F5" w:rsidRDefault="00556985" w:rsidP="00A276C9">
            <w:pPr>
              <w:spacing w:line="240" w:lineRule="auto"/>
              <w:jc w:val="center"/>
              <w:textAlignment w:val="baseline"/>
              <w:rPr>
                <w:rFonts w:eastAsia="Times New Roman" w:cs="Arial"/>
                <w:b/>
                <w:sz w:val="14"/>
                <w:szCs w:val="14"/>
                <w:lang w:eastAsia="en-GB"/>
              </w:rPr>
            </w:pPr>
          </w:p>
        </w:tc>
        <w:tc>
          <w:tcPr>
            <w:tcW w:w="1532" w:type="dxa"/>
            <w:shd w:val="clear" w:color="auto" w:fill="DFF5F9"/>
            <w:vAlign w:val="center"/>
          </w:tcPr>
          <w:p w14:paraId="215FED8D" w14:textId="242F6992" w:rsidR="00556985" w:rsidRPr="003058F5" w:rsidRDefault="00556985" w:rsidP="00A276C9">
            <w:pPr>
              <w:spacing w:line="240" w:lineRule="auto"/>
              <w:textAlignment w:val="baseline"/>
              <w:rPr>
                <w:rFonts w:eastAsia="Times New Roman" w:cs="Arial"/>
                <w:b/>
                <w:sz w:val="14"/>
                <w:szCs w:val="14"/>
              </w:rPr>
            </w:pPr>
            <w:r>
              <w:rPr>
                <w:b/>
                <w:sz w:val="14"/>
              </w:rPr>
              <w:t>Accès à</w:t>
            </w:r>
            <w:r w:rsidR="00767929">
              <w:rPr>
                <w:b/>
                <w:sz w:val="14"/>
              </w:rPr>
              <w:t> :</w:t>
            </w:r>
          </w:p>
        </w:tc>
        <w:tc>
          <w:tcPr>
            <w:tcW w:w="3002" w:type="dxa"/>
            <w:gridSpan w:val="3"/>
            <w:shd w:val="clear" w:color="auto" w:fill="DFF5F9"/>
            <w:vAlign w:val="center"/>
          </w:tcPr>
          <w:p w14:paraId="7828F5DD" w14:textId="6C278676" w:rsidR="00556985" w:rsidRPr="003058F5" w:rsidRDefault="00035EC4" w:rsidP="00A276C9">
            <w:pPr>
              <w:spacing w:line="240" w:lineRule="auto"/>
              <w:textAlignment w:val="baseline"/>
              <w:rPr>
                <w:rFonts w:eastAsia="Times New Roman" w:cs="Arial"/>
                <w:b/>
                <w:sz w:val="14"/>
                <w:szCs w:val="14"/>
              </w:rPr>
            </w:pPr>
            <w:r>
              <w:rPr>
                <w:b/>
                <w:sz w:val="22"/>
              </w:rPr>
              <w:t>Sans objet</w:t>
            </w:r>
          </w:p>
        </w:tc>
        <w:tc>
          <w:tcPr>
            <w:tcW w:w="4462" w:type="dxa"/>
            <w:gridSpan w:val="4"/>
            <w:vMerge/>
            <w:shd w:val="clear" w:color="auto" w:fill="DFF5F9"/>
            <w:vAlign w:val="center"/>
          </w:tcPr>
          <w:p w14:paraId="566D0F9A" w14:textId="77777777" w:rsidR="00556985" w:rsidRPr="003058F5" w:rsidRDefault="00556985" w:rsidP="00A276C9">
            <w:pPr>
              <w:spacing w:line="240" w:lineRule="auto"/>
              <w:jc w:val="center"/>
              <w:textAlignment w:val="baseline"/>
              <w:rPr>
                <w:rFonts w:eastAsia="Times New Roman" w:cs="Arial"/>
                <w:b/>
                <w:sz w:val="14"/>
                <w:szCs w:val="14"/>
                <w:lang w:eastAsia="en-GB"/>
              </w:rPr>
            </w:pPr>
          </w:p>
        </w:tc>
        <w:tc>
          <w:tcPr>
            <w:tcW w:w="1944" w:type="dxa"/>
            <w:gridSpan w:val="3"/>
            <w:vMerge/>
            <w:shd w:val="clear" w:color="auto" w:fill="DFF5F9"/>
            <w:vAlign w:val="center"/>
          </w:tcPr>
          <w:p w14:paraId="30FC6B93" w14:textId="77777777" w:rsidR="00556985" w:rsidRPr="003058F5" w:rsidRDefault="00556985" w:rsidP="00A276C9">
            <w:pPr>
              <w:spacing w:line="240" w:lineRule="auto"/>
              <w:jc w:val="center"/>
              <w:textAlignment w:val="baseline"/>
              <w:rPr>
                <w:rFonts w:eastAsia="Times New Roman" w:cs="Arial"/>
                <w:b/>
                <w:bCs/>
                <w:sz w:val="14"/>
                <w:szCs w:val="14"/>
                <w:lang w:eastAsia="en-GB"/>
              </w:rPr>
            </w:pPr>
          </w:p>
        </w:tc>
        <w:tc>
          <w:tcPr>
            <w:tcW w:w="1957" w:type="dxa"/>
            <w:gridSpan w:val="2"/>
            <w:vMerge/>
            <w:shd w:val="clear" w:color="auto" w:fill="00B0F0"/>
            <w:tcMar>
              <w:top w:w="113" w:type="dxa"/>
              <w:left w:w="113" w:type="dxa"/>
              <w:bottom w:w="113" w:type="dxa"/>
              <w:right w:w="113" w:type="dxa"/>
            </w:tcMar>
            <w:vAlign w:val="center"/>
          </w:tcPr>
          <w:p w14:paraId="5EB7BE11" w14:textId="77777777" w:rsidR="00556985" w:rsidRPr="003058F5" w:rsidRDefault="00556985" w:rsidP="00A276C9">
            <w:pPr>
              <w:spacing w:line="240" w:lineRule="auto"/>
              <w:jc w:val="center"/>
              <w:textAlignment w:val="baseline"/>
              <w:rPr>
                <w:rFonts w:eastAsia="Times New Roman" w:cs="Arial"/>
                <w:b/>
                <w:bCs/>
                <w:color w:val="FFFFFF" w:themeColor="background1"/>
                <w:sz w:val="14"/>
                <w:szCs w:val="14"/>
                <w:lang w:eastAsia="en-GB"/>
              </w:rPr>
            </w:pPr>
          </w:p>
        </w:tc>
      </w:tr>
      <w:tr w:rsidR="00556985" w:rsidRPr="003058F5" w14:paraId="1938CD9F" w14:textId="77777777" w:rsidTr="00F15919">
        <w:trPr>
          <w:gridAfter w:val="1"/>
          <w:wAfter w:w="8" w:type="dxa"/>
          <w:trHeight w:val="567"/>
        </w:trPr>
        <w:tc>
          <w:tcPr>
            <w:tcW w:w="14734" w:type="dxa"/>
            <w:gridSpan w:val="14"/>
            <w:shd w:val="clear" w:color="auto" w:fill="FFFFFF" w:themeFill="background1"/>
            <w:tcMar>
              <w:top w:w="113" w:type="dxa"/>
              <w:left w:w="113" w:type="dxa"/>
              <w:bottom w:w="113" w:type="dxa"/>
              <w:right w:w="113" w:type="dxa"/>
            </w:tcMar>
            <w:vAlign w:val="center"/>
            <w:hideMark/>
          </w:tcPr>
          <w:p w14:paraId="396956EE" w14:textId="59F68828" w:rsidR="00556985" w:rsidRPr="003058F5" w:rsidRDefault="0045469D" w:rsidP="00A276C9">
            <w:pPr>
              <w:spacing w:line="276" w:lineRule="auto"/>
              <w:textAlignment w:val="baseline"/>
              <w:rPr>
                <w:rFonts w:eastAsia="Times New Roman" w:cs="Arial"/>
              </w:rPr>
            </w:pPr>
            <w:r>
              <w:rPr>
                <w:b/>
              </w:rPr>
              <w:t xml:space="preserve">Votre organisation dispose-t-elle d'un processus formel de suivi et d'examen des conséquences de l'évolution des </w:t>
            </w:r>
            <w:hyperlink r:id="rId26" w:history="1">
              <w:r>
                <w:rPr>
                  <w:rStyle w:val="Lienhypertexte"/>
                </w:rPr>
                <w:t>tendances ESG</w:t>
              </w:r>
            </w:hyperlink>
            <w:r>
              <w:rPr>
                <w:b/>
              </w:rPr>
              <w:t xml:space="preserve"> dans vos stratégies relatives aux fonds spéculatifs</w:t>
            </w:r>
            <w:r w:rsidR="00767929">
              <w:t> ?</w:t>
            </w:r>
            <w:r>
              <w:rPr>
                <w:b/>
              </w:rPr>
              <w:t> </w:t>
            </w:r>
          </w:p>
        </w:tc>
      </w:tr>
      <w:tr w:rsidR="00385D19" w:rsidRPr="003058F5" w14:paraId="710AD9DD" w14:textId="77777777" w:rsidTr="00177502">
        <w:trPr>
          <w:trHeight w:val="216"/>
        </w:trPr>
        <w:tc>
          <w:tcPr>
            <w:tcW w:w="3369" w:type="dxa"/>
            <w:gridSpan w:val="2"/>
            <w:shd w:val="clear" w:color="auto" w:fill="FFFFFF" w:themeFill="background1"/>
            <w:tcMar>
              <w:top w:w="113" w:type="dxa"/>
              <w:left w:w="113" w:type="dxa"/>
              <w:bottom w:w="113" w:type="dxa"/>
              <w:right w:w="113" w:type="dxa"/>
            </w:tcMar>
            <w:vAlign w:val="center"/>
          </w:tcPr>
          <w:p w14:paraId="4CBC7E76" w14:textId="6341A63C" w:rsidR="00513432" w:rsidRPr="003058F5" w:rsidRDefault="00513432" w:rsidP="00F15919">
            <w:pPr>
              <w:pStyle w:val="Paragraphedeliste"/>
              <w:spacing w:line="276" w:lineRule="auto"/>
              <w:textAlignment w:val="baseline"/>
              <w:rPr>
                <w:rFonts w:cs="Arial"/>
              </w:rPr>
            </w:pPr>
          </w:p>
        </w:tc>
        <w:tc>
          <w:tcPr>
            <w:tcW w:w="11373" w:type="dxa"/>
            <w:gridSpan w:val="13"/>
            <w:shd w:val="clear" w:color="auto" w:fill="E7E6E6" w:themeFill="background2"/>
            <w:vAlign w:val="center"/>
          </w:tcPr>
          <w:p w14:paraId="4B2F4F87" w14:textId="2A5A8B3C" w:rsidR="00513432" w:rsidRPr="003058F5" w:rsidRDefault="00513432" w:rsidP="00F15919">
            <w:pPr>
              <w:spacing w:line="276" w:lineRule="auto"/>
              <w:jc w:val="center"/>
              <w:textAlignment w:val="baseline"/>
              <w:rPr>
                <w:rFonts w:eastAsia="Times New Roman" w:cs="Arial"/>
                <w:szCs w:val="16"/>
              </w:rPr>
            </w:pPr>
            <w:r>
              <w:rPr>
                <w:b/>
              </w:rPr>
              <w:t>Stratégies relatives aux fonds spéculatifs gérés en interne</w:t>
            </w:r>
          </w:p>
        </w:tc>
      </w:tr>
      <w:tr w:rsidR="00F15919" w:rsidRPr="003058F5" w14:paraId="2E0A720F" w14:textId="77777777" w:rsidTr="00F15919">
        <w:trPr>
          <w:trHeight w:val="216"/>
        </w:trPr>
        <w:tc>
          <w:tcPr>
            <w:tcW w:w="3369" w:type="dxa"/>
            <w:gridSpan w:val="2"/>
            <w:shd w:val="clear" w:color="auto" w:fill="FFFFFF" w:themeFill="background1"/>
            <w:tcMar>
              <w:top w:w="113" w:type="dxa"/>
              <w:left w:w="113" w:type="dxa"/>
              <w:bottom w:w="113" w:type="dxa"/>
              <w:right w:w="113" w:type="dxa"/>
            </w:tcMar>
            <w:vAlign w:val="center"/>
          </w:tcPr>
          <w:p w14:paraId="23E19CC6" w14:textId="433880FE" w:rsidR="00513432" w:rsidRPr="003058F5" w:rsidRDefault="00513432" w:rsidP="00F15919">
            <w:pPr>
              <w:pStyle w:val="Paragraphedeliste"/>
              <w:spacing w:line="276" w:lineRule="auto"/>
              <w:textAlignment w:val="baseline"/>
              <w:rPr>
                <w:rFonts w:cs="Arial"/>
              </w:rPr>
            </w:pPr>
          </w:p>
        </w:tc>
        <w:tc>
          <w:tcPr>
            <w:tcW w:w="1262" w:type="dxa"/>
            <w:shd w:val="clear" w:color="auto" w:fill="EDEDED" w:themeFill="accent3" w:themeFillTint="33"/>
            <w:vAlign w:val="center"/>
          </w:tcPr>
          <w:p w14:paraId="58D6EB27" w14:textId="422D42A5" w:rsidR="00687A00" w:rsidRPr="003058F5" w:rsidRDefault="00687A00">
            <w:pPr>
              <w:spacing w:line="276" w:lineRule="auto"/>
              <w:ind w:hanging="83"/>
              <w:jc w:val="center"/>
              <w:textAlignment w:val="baseline"/>
              <w:rPr>
                <w:rFonts w:cs="Arial"/>
                <w:b/>
                <w:sz w:val="18"/>
                <w:szCs w:val="18"/>
              </w:rPr>
            </w:pPr>
            <w:r>
              <w:rPr>
                <w:b/>
                <w:sz w:val="18"/>
              </w:rPr>
              <w:t>Toutes les stratégies</w:t>
            </w:r>
          </w:p>
        </w:tc>
        <w:tc>
          <w:tcPr>
            <w:tcW w:w="1263" w:type="dxa"/>
            <w:shd w:val="clear" w:color="auto" w:fill="FFFFFF" w:themeFill="background1"/>
            <w:vAlign w:val="center"/>
          </w:tcPr>
          <w:p w14:paraId="21482E53" w14:textId="674DD121" w:rsidR="00513432" w:rsidRPr="003058F5" w:rsidRDefault="00513432" w:rsidP="00F15919">
            <w:pPr>
              <w:spacing w:line="276" w:lineRule="auto"/>
              <w:ind w:hanging="83"/>
              <w:jc w:val="center"/>
              <w:textAlignment w:val="baseline"/>
              <w:rPr>
                <w:rFonts w:cs="Arial"/>
                <w:b/>
                <w:sz w:val="18"/>
                <w:szCs w:val="18"/>
              </w:rPr>
            </w:pPr>
            <w:r>
              <w:rPr>
                <w:b/>
                <w:sz w:val="18"/>
              </w:rPr>
              <w:t xml:space="preserve">(1) </w:t>
            </w:r>
            <w:hyperlink r:id="rId27" w:history="1">
              <w:r>
                <w:rPr>
                  <w:rStyle w:val="Lienhypertexte"/>
                  <w:b/>
                  <w:sz w:val="18"/>
                </w:rPr>
                <w:t>Multi-stratégies</w:t>
              </w:r>
            </w:hyperlink>
          </w:p>
        </w:tc>
        <w:tc>
          <w:tcPr>
            <w:tcW w:w="1263" w:type="dxa"/>
            <w:gridSpan w:val="2"/>
            <w:shd w:val="clear" w:color="auto" w:fill="FFFFFF" w:themeFill="background1"/>
            <w:vAlign w:val="center"/>
          </w:tcPr>
          <w:p w14:paraId="6925EA2F" w14:textId="2F5CCB43" w:rsidR="00513432" w:rsidRPr="003058F5" w:rsidRDefault="00513432" w:rsidP="00F15919">
            <w:pPr>
              <w:spacing w:line="276" w:lineRule="auto"/>
              <w:ind w:hanging="83"/>
              <w:jc w:val="center"/>
              <w:textAlignment w:val="baseline"/>
              <w:rPr>
                <w:rFonts w:cs="Arial"/>
                <w:b/>
                <w:sz w:val="18"/>
                <w:szCs w:val="18"/>
              </w:rPr>
            </w:pPr>
            <w:r>
              <w:rPr>
                <w:b/>
                <w:sz w:val="18"/>
              </w:rPr>
              <w:t xml:space="preserve">(2) </w:t>
            </w:r>
            <w:r>
              <w:t xml:space="preserve">Stratégies </w:t>
            </w:r>
            <w:hyperlink r:id="rId28" w:history="1">
              <w:r>
                <w:rPr>
                  <w:rStyle w:val="Lienhypertexte"/>
                  <w:b/>
                  <w:sz w:val="18"/>
                </w:rPr>
                <w:t>long/short actions</w:t>
              </w:r>
            </w:hyperlink>
          </w:p>
        </w:tc>
        <w:tc>
          <w:tcPr>
            <w:tcW w:w="1263" w:type="dxa"/>
            <w:shd w:val="clear" w:color="auto" w:fill="FFFFFF" w:themeFill="background1"/>
            <w:vAlign w:val="center"/>
          </w:tcPr>
          <w:p w14:paraId="6E960A94" w14:textId="15EE8EE0" w:rsidR="00513432" w:rsidRPr="003058F5" w:rsidRDefault="00513432" w:rsidP="00F15919">
            <w:pPr>
              <w:spacing w:line="276" w:lineRule="auto"/>
              <w:ind w:hanging="83"/>
              <w:jc w:val="center"/>
              <w:textAlignment w:val="baseline"/>
              <w:rPr>
                <w:rFonts w:cs="Arial"/>
                <w:b/>
                <w:sz w:val="18"/>
                <w:szCs w:val="18"/>
              </w:rPr>
            </w:pPr>
            <w:r>
              <w:rPr>
                <w:b/>
                <w:sz w:val="18"/>
              </w:rPr>
              <w:t xml:space="preserve">(3) </w:t>
            </w:r>
            <w:r>
              <w:rPr>
                <w:b/>
                <w:bCs/>
                <w:sz w:val="18"/>
              </w:rPr>
              <w:t>Stratégies</w:t>
            </w:r>
            <w:r>
              <w:rPr>
                <w:b/>
                <w:sz w:val="18"/>
              </w:rPr>
              <w:t xml:space="preserve"> </w:t>
            </w:r>
            <w:hyperlink r:id="rId29" w:history="1">
              <w:r>
                <w:rPr>
                  <w:rStyle w:val="Lienhypertexte"/>
                  <w:b/>
                  <w:sz w:val="18"/>
                </w:rPr>
                <w:t>long/short crédit</w:t>
              </w:r>
            </w:hyperlink>
          </w:p>
        </w:tc>
        <w:tc>
          <w:tcPr>
            <w:tcW w:w="1262" w:type="dxa"/>
            <w:shd w:val="clear" w:color="auto" w:fill="FFFFFF" w:themeFill="background1"/>
            <w:vAlign w:val="center"/>
          </w:tcPr>
          <w:p w14:paraId="0D20B320" w14:textId="7BEBF06D" w:rsidR="00513432" w:rsidRPr="003058F5" w:rsidRDefault="00513432" w:rsidP="00F15919">
            <w:pPr>
              <w:spacing w:line="276" w:lineRule="auto"/>
              <w:ind w:hanging="83"/>
              <w:jc w:val="center"/>
              <w:textAlignment w:val="baseline"/>
              <w:rPr>
                <w:rFonts w:cs="Arial"/>
                <w:b/>
                <w:sz w:val="18"/>
                <w:szCs w:val="18"/>
              </w:rPr>
            </w:pPr>
            <w:r>
              <w:rPr>
                <w:b/>
                <w:sz w:val="18"/>
              </w:rPr>
              <w:t xml:space="preserve">(4) </w:t>
            </w:r>
            <w:hyperlink r:id="rId30" w:history="1">
              <w:r>
                <w:rPr>
                  <w:rStyle w:val="Lienhypertexte"/>
                  <w:b/>
                  <w:sz w:val="18"/>
                </w:rPr>
                <w:t>Dette décotée (</w:t>
              </w:r>
              <w:proofErr w:type="spellStart"/>
              <w:r>
                <w:rPr>
                  <w:rStyle w:val="Lienhypertexte"/>
                  <w:b/>
                  <w:i/>
                  <w:iCs/>
                  <w:sz w:val="18"/>
                </w:rPr>
                <w:t>distressed</w:t>
              </w:r>
              <w:proofErr w:type="spellEnd"/>
              <w:r>
                <w:rPr>
                  <w:rStyle w:val="Lienhypertexte"/>
                  <w:b/>
                  <w:sz w:val="18"/>
                </w:rPr>
                <w:t>), situations spéciales et stratégie fondamentale faisant suite à un événement</w:t>
              </w:r>
            </w:hyperlink>
          </w:p>
        </w:tc>
        <w:tc>
          <w:tcPr>
            <w:tcW w:w="1263" w:type="dxa"/>
            <w:gridSpan w:val="2"/>
            <w:shd w:val="clear" w:color="auto" w:fill="FFFFFF" w:themeFill="background1"/>
            <w:vAlign w:val="center"/>
          </w:tcPr>
          <w:p w14:paraId="3A8480B5" w14:textId="257389A0" w:rsidR="00513432" w:rsidRPr="003058F5" w:rsidRDefault="00513432" w:rsidP="00F15919">
            <w:pPr>
              <w:spacing w:line="276" w:lineRule="auto"/>
              <w:ind w:hanging="83"/>
              <w:jc w:val="center"/>
              <w:textAlignment w:val="baseline"/>
              <w:rPr>
                <w:rFonts w:cs="Arial"/>
                <w:b/>
                <w:sz w:val="18"/>
                <w:szCs w:val="18"/>
              </w:rPr>
            </w:pPr>
            <w:r>
              <w:rPr>
                <w:b/>
                <w:sz w:val="18"/>
              </w:rPr>
              <w:t xml:space="preserve">(5) </w:t>
            </w:r>
            <w:hyperlink r:id="rId31" w:history="1">
              <w:r>
                <w:rPr>
                  <w:rStyle w:val="Lienhypertexte"/>
                  <w:b/>
                  <w:sz w:val="18"/>
                </w:rPr>
                <w:t>Crédit structuré</w:t>
              </w:r>
            </w:hyperlink>
          </w:p>
        </w:tc>
        <w:tc>
          <w:tcPr>
            <w:tcW w:w="1262" w:type="dxa"/>
            <w:shd w:val="clear" w:color="auto" w:fill="FFFFFF" w:themeFill="background1"/>
            <w:vAlign w:val="center"/>
          </w:tcPr>
          <w:p w14:paraId="084A6E6F" w14:textId="5D88A551" w:rsidR="00513432" w:rsidRPr="003058F5" w:rsidRDefault="00513432" w:rsidP="00F15919">
            <w:pPr>
              <w:spacing w:line="276" w:lineRule="auto"/>
              <w:ind w:hanging="83"/>
              <w:jc w:val="center"/>
              <w:textAlignment w:val="baseline"/>
              <w:rPr>
                <w:rFonts w:cs="Arial"/>
                <w:b/>
                <w:sz w:val="18"/>
                <w:szCs w:val="18"/>
              </w:rPr>
            </w:pPr>
            <w:r>
              <w:rPr>
                <w:b/>
                <w:sz w:val="18"/>
              </w:rPr>
              <w:t xml:space="preserve">(6) Stratégies </w:t>
            </w:r>
            <w:r w:rsidR="00FC3BD3">
              <w:rPr>
                <w:b/>
                <w:sz w:val="18"/>
              </w:rPr>
              <w:t>« </w:t>
            </w:r>
            <w:r>
              <w:rPr>
                <w:b/>
                <w:sz w:val="18"/>
              </w:rPr>
              <w:t>global macro</w:t>
            </w:r>
            <w:r w:rsidR="00FC3BD3">
              <w:rPr>
                <w:b/>
                <w:sz w:val="18"/>
              </w:rPr>
              <w:t> »</w:t>
            </w:r>
          </w:p>
        </w:tc>
        <w:tc>
          <w:tcPr>
            <w:tcW w:w="1264" w:type="dxa"/>
            <w:gridSpan w:val="2"/>
            <w:shd w:val="clear" w:color="auto" w:fill="FFFFFF" w:themeFill="background1"/>
            <w:vAlign w:val="center"/>
          </w:tcPr>
          <w:p w14:paraId="7BA16653" w14:textId="5C7374B3" w:rsidR="00513432" w:rsidRPr="003058F5" w:rsidRDefault="00513432" w:rsidP="00F15919">
            <w:pPr>
              <w:spacing w:line="276" w:lineRule="auto"/>
              <w:ind w:hanging="83"/>
              <w:jc w:val="center"/>
              <w:textAlignment w:val="baseline"/>
              <w:rPr>
                <w:rFonts w:cs="Arial"/>
                <w:b/>
                <w:sz w:val="18"/>
                <w:szCs w:val="18"/>
              </w:rPr>
            </w:pPr>
            <w:r>
              <w:rPr>
                <w:b/>
                <w:sz w:val="18"/>
              </w:rPr>
              <w:t xml:space="preserve">(7) </w:t>
            </w:r>
            <w:hyperlink r:id="rId32" w:history="1">
              <w:r>
                <w:rPr>
                  <w:rStyle w:val="Lienhypertexte"/>
                  <w:b/>
                  <w:sz w:val="18"/>
                </w:rPr>
                <w:t>Stratégies de CTA (</w:t>
              </w:r>
              <w:proofErr w:type="spellStart"/>
              <w:r>
                <w:rPr>
                  <w:rStyle w:val="Lienhypertexte"/>
                  <w:b/>
                  <w:i/>
                  <w:iCs/>
                  <w:sz w:val="18"/>
                </w:rPr>
                <w:t>Commodity</w:t>
              </w:r>
              <w:proofErr w:type="spellEnd"/>
              <w:r>
                <w:rPr>
                  <w:rStyle w:val="Lienhypertexte"/>
                  <w:b/>
                  <w:i/>
                  <w:iCs/>
                  <w:sz w:val="18"/>
                </w:rPr>
                <w:t xml:space="preserve"> trading </w:t>
              </w:r>
              <w:proofErr w:type="spellStart"/>
              <w:r>
                <w:rPr>
                  <w:rStyle w:val="Lienhypertexte"/>
                  <w:b/>
                  <w:i/>
                  <w:iCs/>
                  <w:sz w:val="18"/>
                </w:rPr>
                <w:t>advisor</w:t>
              </w:r>
              <w:proofErr w:type="spellEnd"/>
              <w:r>
                <w:rPr>
                  <w:rStyle w:val="Lienhypertexte"/>
                  <w:b/>
                  <w:sz w:val="18"/>
                </w:rPr>
                <w:t>)</w:t>
              </w:r>
            </w:hyperlink>
          </w:p>
        </w:tc>
        <w:tc>
          <w:tcPr>
            <w:tcW w:w="1271" w:type="dxa"/>
            <w:gridSpan w:val="2"/>
            <w:shd w:val="clear" w:color="auto" w:fill="auto"/>
            <w:vAlign w:val="center"/>
          </w:tcPr>
          <w:p w14:paraId="7BEFDE89" w14:textId="7A1B230B" w:rsidR="00AD5813" w:rsidRPr="003058F5" w:rsidRDefault="00513432" w:rsidP="00F15919">
            <w:pPr>
              <w:spacing w:after="160" w:line="259" w:lineRule="auto"/>
              <w:jc w:val="center"/>
              <w:rPr>
                <w:b/>
                <w:sz w:val="18"/>
                <w:szCs w:val="18"/>
              </w:rPr>
            </w:pPr>
            <w:r>
              <w:rPr>
                <w:b/>
                <w:sz w:val="18"/>
              </w:rPr>
              <w:t>(8) Autres stratégies</w:t>
            </w:r>
          </w:p>
        </w:tc>
      </w:tr>
      <w:tr w:rsidR="00F15919" w:rsidRPr="003058F5" w14:paraId="794953C1" w14:textId="77777777" w:rsidTr="00F15919">
        <w:trPr>
          <w:gridAfter w:val="1"/>
          <w:wAfter w:w="8" w:type="dxa"/>
          <w:trHeight w:val="216"/>
        </w:trPr>
        <w:tc>
          <w:tcPr>
            <w:tcW w:w="3369" w:type="dxa"/>
            <w:gridSpan w:val="2"/>
            <w:shd w:val="clear" w:color="auto" w:fill="FFFFFF" w:themeFill="background1"/>
            <w:tcMar>
              <w:top w:w="113" w:type="dxa"/>
              <w:left w:w="113" w:type="dxa"/>
              <w:bottom w:w="113" w:type="dxa"/>
              <w:right w:w="113" w:type="dxa"/>
            </w:tcMar>
            <w:vAlign w:val="center"/>
          </w:tcPr>
          <w:p w14:paraId="10BC049C" w14:textId="345FD376" w:rsidR="005C1875" w:rsidRPr="003058F5" w:rsidRDefault="008E299D" w:rsidP="00BC77BB">
            <w:pPr>
              <w:spacing w:line="276" w:lineRule="auto"/>
              <w:textAlignment w:val="baseline"/>
              <w:rPr>
                <w:rFonts w:eastAsia="Times New Roman" w:cs="Arial"/>
                <w:szCs w:val="16"/>
              </w:rPr>
            </w:pPr>
            <w:r>
              <w:t>(A) Oui, nous disposons d’un processus formel qui comprend des</w:t>
            </w:r>
            <w:r w:rsidR="005D6539">
              <w:t xml:space="preserve"> </w:t>
            </w:r>
            <w:hyperlink r:id="rId33" w:history="1">
              <w:r>
                <w:rPr>
                  <w:rStyle w:val="Lienhypertexte"/>
                </w:rPr>
                <w:t xml:space="preserve">analyses de scénarios </w:t>
              </w:r>
            </w:hyperlink>
          </w:p>
          <w:p w14:paraId="6A8223F6" w14:textId="1612B588" w:rsidR="00E73F76" w:rsidRPr="003058F5" w:rsidRDefault="00393227" w:rsidP="00F15919">
            <w:pPr>
              <w:spacing w:line="276" w:lineRule="auto"/>
              <w:textAlignment w:val="baseline"/>
              <w:rPr>
                <w:rFonts w:cs="Arial"/>
              </w:rPr>
            </w:pPr>
            <w:r>
              <w:t>Veuillez préciser</w:t>
            </w:r>
            <w:r w:rsidR="00767929">
              <w:t> :</w:t>
            </w:r>
            <w:r>
              <w:t xml:space="preserve"> ______ [Texte libre facultatif</w:t>
            </w:r>
            <w:r w:rsidR="00767929">
              <w:t> :</w:t>
            </w:r>
            <w:r>
              <w:t xml:space="preserve"> taille moyenne] </w:t>
            </w:r>
          </w:p>
        </w:tc>
        <w:tc>
          <w:tcPr>
            <w:tcW w:w="1262" w:type="dxa"/>
            <w:shd w:val="clear" w:color="auto" w:fill="EDEDED" w:themeFill="accent3" w:themeFillTint="33"/>
            <w:vAlign w:val="center"/>
          </w:tcPr>
          <w:p w14:paraId="64BF3F48" w14:textId="77777777" w:rsidR="00AD508A" w:rsidRPr="003058F5" w:rsidRDefault="00AD508A" w:rsidP="00AD508A">
            <w:pPr>
              <w:spacing w:line="276" w:lineRule="auto"/>
              <w:textAlignment w:val="baseline"/>
              <w:rPr>
                <w:rFonts w:eastAsia="Times New Roman" w:cs="Arial"/>
              </w:rPr>
            </w:pPr>
            <w:r>
              <w:t>[Liste déroulante]</w:t>
            </w:r>
          </w:p>
          <w:p w14:paraId="17EB89B2" w14:textId="77777777" w:rsidR="00AD508A" w:rsidRPr="003058F5" w:rsidRDefault="00AD508A" w:rsidP="00AD508A">
            <w:pPr>
              <w:spacing w:line="276" w:lineRule="auto"/>
              <w:textAlignment w:val="baseline"/>
              <w:rPr>
                <w:rFonts w:eastAsia="Times New Roman" w:cs="Arial"/>
                <w:lang w:eastAsia="en-GB"/>
              </w:rPr>
            </w:pPr>
          </w:p>
          <w:p w14:paraId="420E31A7" w14:textId="1EC801D9" w:rsidR="00AD508A" w:rsidRPr="003058F5" w:rsidRDefault="00AD508A" w:rsidP="00AD508A">
            <w:pPr>
              <w:spacing w:line="276" w:lineRule="auto"/>
              <w:textAlignment w:val="baseline"/>
              <w:rPr>
                <w:rFonts w:eastAsia="Times New Roman" w:cs="Arial"/>
              </w:rPr>
            </w:pPr>
            <w:r>
              <w:t>(1) pour tous nos actifs sous gestion</w:t>
            </w:r>
          </w:p>
          <w:p w14:paraId="3593B227" w14:textId="66CAEDDB" w:rsidR="00AD508A" w:rsidRPr="003058F5" w:rsidRDefault="00AD508A" w:rsidP="00AD508A">
            <w:pPr>
              <w:spacing w:line="276" w:lineRule="auto"/>
              <w:textAlignment w:val="baseline"/>
              <w:rPr>
                <w:rFonts w:eastAsia="Times New Roman" w:cs="Arial"/>
              </w:rPr>
            </w:pPr>
            <w:r>
              <w:t>(2) pour plus de 50</w:t>
            </w:r>
            <w:r w:rsidR="00767929">
              <w:t> %</w:t>
            </w:r>
            <w:r>
              <w:t xml:space="preserve"> de nos actifs </w:t>
            </w:r>
            <w:r>
              <w:lastRenderedPageBreak/>
              <w:t>sous gestion</w:t>
            </w:r>
          </w:p>
          <w:p w14:paraId="02EF8234" w14:textId="1213E764" w:rsidR="00AD508A" w:rsidRPr="003058F5" w:rsidRDefault="00AD508A" w:rsidP="00AD508A">
            <w:pPr>
              <w:spacing w:line="276" w:lineRule="auto"/>
              <w:textAlignment w:val="baseline"/>
              <w:rPr>
                <w:rFonts w:eastAsia="Times New Roman" w:cs="Arial"/>
              </w:rPr>
            </w:pPr>
            <w:r>
              <w:t>(3) pour moins de 50</w:t>
            </w:r>
            <w:r w:rsidR="00767929">
              <w:t> %</w:t>
            </w:r>
            <w:r>
              <w:t xml:space="preserve"> de nos actifs sous gestion</w:t>
            </w:r>
          </w:p>
        </w:tc>
        <w:tc>
          <w:tcPr>
            <w:tcW w:w="1263" w:type="dxa"/>
            <w:shd w:val="clear" w:color="auto" w:fill="FFFFFF" w:themeFill="background1"/>
            <w:vAlign w:val="center"/>
          </w:tcPr>
          <w:p w14:paraId="64B4EBC3" w14:textId="77777777" w:rsidR="00AD508A" w:rsidRPr="003058F5" w:rsidRDefault="00AD508A" w:rsidP="00AD508A">
            <w:pPr>
              <w:spacing w:line="276" w:lineRule="auto"/>
              <w:textAlignment w:val="baseline"/>
              <w:rPr>
                <w:rFonts w:eastAsia="Times New Roman" w:cs="Arial"/>
              </w:rPr>
            </w:pPr>
            <w:r>
              <w:lastRenderedPageBreak/>
              <w:t>[Liste déroulante]</w:t>
            </w:r>
          </w:p>
          <w:p w14:paraId="0BC577E7" w14:textId="77777777" w:rsidR="00AD508A" w:rsidRPr="003058F5" w:rsidRDefault="00AD508A" w:rsidP="00AD508A">
            <w:pPr>
              <w:spacing w:line="276" w:lineRule="auto"/>
              <w:textAlignment w:val="baseline"/>
              <w:rPr>
                <w:rFonts w:eastAsia="Times New Roman" w:cs="Arial"/>
                <w:lang w:eastAsia="en-GB"/>
              </w:rPr>
            </w:pPr>
          </w:p>
          <w:p w14:paraId="31958726" w14:textId="77777777" w:rsidR="00AD508A" w:rsidRPr="003058F5" w:rsidRDefault="00AD508A" w:rsidP="00AD508A">
            <w:pPr>
              <w:spacing w:line="276" w:lineRule="auto"/>
              <w:textAlignment w:val="baseline"/>
              <w:rPr>
                <w:rFonts w:eastAsia="Times New Roman" w:cs="Arial"/>
              </w:rPr>
            </w:pPr>
            <w:r>
              <w:t>(1) pour tous nos actifs sous gestion</w:t>
            </w:r>
          </w:p>
          <w:p w14:paraId="506E996A" w14:textId="20A0B255" w:rsidR="00AD508A" w:rsidRPr="003058F5" w:rsidRDefault="00AD508A" w:rsidP="00AD508A">
            <w:pPr>
              <w:spacing w:line="276" w:lineRule="auto"/>
              <w:textAlignment w:val="baseline"/>
              <w:rPr>
                <w:rFonts w:eastAsia="Times New Roman" w:cs="Arial"/>
              </w:rPr>
            </w:pPr>
            <w:r>
              <w:t>(2) pour plus de 50</w:t>
            </w:r>
            <w:r w:rsidR="00767929">
              <w:t> %</w:t>
            </w:r>
            <w:r>
              <w:t xml:space="preserve"> de nos actifs </w:t>
            </w:r>
            <w:r>
              <w:lastRenderedPageBreak/>
              <w:t>sous gestion</w:t>
            </w:r>
          </w:p>
          <w:p w14:paraId="1DAA8762" w14:textId="4FE639E6" w:rsidR="00E73F76" w:rsidRPr="003058F5" w:rsidRDefault="00AD508A" w:rsidP="00F15919">
            <w:pPr>
              <w:spacing w:line="276" w:lineRule="auto"/>
              <w:textAlignment w:val="baseline"/>
              <w:rPr>
                <w:rFonts w:cs="Arial"/>
              </w:rPr>
            </w:pPr>
            <w:r>
              <w:t>(3) pour moins de 50</w:t>
            </w:r>
            <w:r w:rsidR="00767929">
              <w:t> %</w:t>
            </w:r>
            <w:r>
              <w:t xml:space="preserve"> de nos actifs sous gestion</w:t>
            </w:r>
          </w:p>
        </w:tc>
        <w:tc>
          <w:tcPr>
            <w:tcW w:w="1263" w:type="dxa"/>
            <w:gridSpan w:val="2"/>
            <w:shd w:val="clear" w:color="auto" w:fill="FFFFFF" w:themeFill="background1"/>
            <w:vAlign w:val="center"/>
          </w:tcPr>
          <w:p w14:paraId="3028F361" w14:textId="77777777" w:rsidR="00AD508A" w:rsidRPr="003058F5" w:rsidRDefault="00AD508A" w:rsidP="00AD508A">
            <w:pPr>
              <w:spacing w:line="276" w:lineRule="auto"/>
              <w:textAlignment w:val="baseline"/>
              <w:rPr>
                <w:rFonts w:eastAsia="Times New Roman" w:cs="Arial"/>
              </w:rPr>
            </w:pPr>
            <w:r>
              <w:lastRenderedPageBreak/>
              <w:t>[Liste déroulante]</w:t>
            </w:r>
          </w:p>
          <w:p w14:paraId="2E0DAC54" w14:textId="77777777" w:rsidR="00AD508A" w:rsidRPr="003058F5" w:rsidRDefault="00AD508A" w:rsidP="00AD508A">
            <w:pPr>
              <w:spacing w:line="276" w:lineRule="auto"/>
              <w:textAlignment w:val="baseline"/>
              <w:rPr>
                <w:rFonts w:eastAsia="Times New Roman" w:cs="Arial"/>
                <w:lang w:eastAsia="en-GB"/>
              </w:rPr>
            </w:pPr>
          </w:p>
          <w:p w14:paraId="5D98CF0E" w14:textId="77777777" w:rsidR="00AD508A" w:rsidRPr="003058F5" w:rsidRDefault="00AD508A" w:rsidP="00AD508A">
            <w:pPr>
              <w:spacing w:line="276" w:lineRule="auto"/>
              <w:textAlignment w:val="baseline"/>
              <w:rPr>
                <w:rFonts w:eastAsia="Times New Roman" w:cs="Arial"/>
              </w:rPr>
            </w:pPr>
            <w:r>
              <w:t>(1) pour tous nos actifs sous gestion</w:t>
            </w:r>
          </w:p>
          <w:p w14:paraId="4A4C434C" w14:textId="4E481049" w:rsidR="00AD508A" w:rsidRPr="003058F5" w:rsidRDefault="00AD508A" w:rsidP="00AD508A">
            <w:pPr>
              <w:spacing w:line="276" w:lineRule="auto"/>
              <w:textAlignment w:val="baseline"/>
              <w:rPr>
                <w:rFonts w:eastAsia="Times New Roman" w:cs="Arial"/>
              </w:rPr>
            </w:pPr>
            <w:r>
              <w:t>(2) pour plus de 50</w:t>
            </w:r>
            <w:r w:rsidR="00767929">
              <w:t> %</w:t>
            </w:r>
            <w:r>
              <w:t xml:space="preserve"> de nos actifs </w:t>
            </w:r>
            <w:r>
              <w:lastRenderedPageBreak/>
              <w:t>sous gestion</w:t>
            </w:r>
          </w:p>
          <w:p w14:paraId="32188D79" w14:textId="3DA5914B" w:rsidR="00E73F76" w:rsidRPr="003058F5" w:rsidRDefault="00AD508A" w:rsidP="00F15919">
            <w:pPr>
              <w:spacing w:line="276" w:lineRule="auto"/>
              <w:textAlignment w:val="baseline"/>
              <w:rPr>
                <w:rFonts w:cs="Arial"/>
              </w:rPr>
            </w:pPr>
            <w:r>
              <w:t>(3) pour moins de 50</w:t>
            </w:r>
            <w:r w:rsidR="00767929">
              <w:t> %</w:t>
            </w:r>
            <w:r>
              <w:t xml:space="preserve"> de nos actifs sous gestion</w:t>
            </w:r>
          </w:p>
        </w:tc>
        <w:tc>
          <w:tcPr>
            <w:tcW w:w="1263" w:type="dxa"/>
            <w:shd w:val="clear" w:color="auto" w:fill="FFFFFF" w:themeFill="background1"/>
            <w:vAlign w:val="center"/>
          </w:tcPr>
          <w:p w14:paraId="2C437219" w14:textId="77777777" w:rsidR="00AD508A" w:rsidRPr="003058F5" w:rsidRDefault="00AD508A" w:rsidP="00AD508A">
            <w:pPr>
              <w:spacing w:line="276" w:lineRule="auto"/>
              <w:textAlignment w:val="baseline"/>
              <w:rPr>
                <w:rFonts w:eastAsia="Times New Roman" w:cs="Arial"/>
              </w:rPr>
            </w:pPr>
            <w:r>
              <w:lastRenderedPageBreak/>
              <w:t>[Liste déroulante]</w:t>
            </w:r>
          </w:p>
          <w:p w14:paraId="327CF0B7" w14:textId="77777777" w:rsidR="00AD508A" w:rsidRPr="003058F5" w:rsidRDefault="00AD508A" w:rsidP="00AD508A">
            <w:pPr>
              <w:spacing w:line="276" w:lineRule="auto"/>
              <w:textAlignment w:val="baseline"/>
              <w:rPr>
                <w:rFonts w:eastAsia="Times New Roman" w:cs="Arial"/>
                <w:lang w:eastAsia="en-GB"/>
              </w:rPr>
            </w:pPr>
          </w:p>
          <w:p w14:paraId="7E2B68D4" w14:textId="77777777" w:rsidR="00AD508A" w:rsidRPr="003058F5" w:rsidRDefault="00AD508A" w:rsidP="00AD508A">
            <w:pPr>
              <w:spacing w:line="276" w:lineRule="auto"/>
              <w:textAlignment w:val="baseline"/>
              <w:rPr>
                <w:rFonts w:eastAsia="Times New Roman" w:cs="Arial"/>
              </w:rPr>
            </w:pPr>
            <w:r>
              <w:t>(1) pour tous nos actifs sous gestion</w:t>
            </w:r>
          </w:p>
          <w:p w14:paraId="626190BD" w14:textId="13C3BCBF" w:rsidR="00AD508A" w:rsidRPr="003058F5" w:rsidRDefault="00AD508A" w:rsidP="00AD508A">
            <w:pPr>
              <w:spacing w:line="276" w:lineRule="auto"/>
              <w:textAlignment w:val="baseline"/>
              <w:rPr>
                <w:rFonts w:eastAsia="Times New Roman" w:cs="Arial"/>
              </w:rPr>
            </w:pPr>
            <w:r>
              <w:t>(2) pour plus de 50</w:t>
            </w:r>
            <w:r w:rsidR="00767929">
              <w:t> %</w:t>
            </w:r>
            <w:r>
              <w:t xml:space="preserve"> de nos actifs </w:t>
            </w:r>
            <w:r>
              <w:lastRenderedPageBreak/>
              <w:t>sous gestion</w:t>
            </w:r>
          </w:p>
          <w:p w14:paraId="72F830BF" w14:textId="572C9E56" w:rsidR="00E73F76" w:rsidRPr="003058F5" w:rsidRDefault="00AD508A" w:rsidP="00F15919">
            <w:pPr>
              <w:spacing w:line="276" w:lineRule="auto"/>
              <w:textAlignment w:val="baseline"/>
              <w:rPr>
                <w:rFonts w:cs="Arial"/>
              </w:rPr>
            </w:pPr>
            <w:r>
              <w:t>(3) pour moins de 50</w:t>
            </w:r>
            <w:r w:rsidR="00767929">
              <w:t> %</w:t>
            </w:r>
            <w:r>
              <w:t xml:space="preserve"> de nos actifs sous gestion</w:t>
            </w:r>
          </w:p>
        </w:tc>
        <w:tc>
          <w:tcPr>
            <w:tcW w:w="1262" w:type="dxa"/>
            <w:shd w:val="clear" w:color="auto" w:fill="FFFFFF" w:themeFill="background1"/>
            <w:vAlign w:val="center"/>
          </w:tcPr>
          <w:p w14:paraId="4D69F672" w14:textId="77777777" w:rsidR="00AD508A" w:rsidRPr="003058F5" w:rsidRDefault="00AD508A" w:rsidP="00AD508A">
            <w:pPr>
              <w:spacing w:line="276" w:lineRule="auto"/>
              <w:textAlignment w:val="baseline"/>
              <w:rPr>
                <w:rFonts w:eastAsia="Times New Roman" w:cs="Arial"/>
              </w:rPr>
            </w:pPr>
            <w:r>
              <w:lastRenderedPageBreak/>
              <w:t>[Liste déroulante]</w:t>
            </w:r>
          </w:p>
          <w:p w14:paraId="75204B01" w14:textId="77777777" w:rsidR="00AD508A" w:rsidRPr="003058F5" w:rsidRDefault="00AD508A" w:rsidP="00AD508A">
            <w:pPr>
              <w:spacing w:line="276" w:lineRule="auto"/>
              <w:textAlignment w:val="baseline"/>
              <w:rPr>
                <w:rFonts w:eastAsia="Times New Roman" w:cs="Arial"/>
                <w:lang w:eastAsia="en-GB"/>
              </w:rPr>
            </w:pPr>
          </w:p>
          <w:p w14:paraId="72EA4C2A" w14:textId="77777777" w:rsidR="00AD508A" w:rsidRPr="003058F5" w:rsidRDefault="00AD508A" w:rsidP="00AD508A">
            <w:pPr>
              <w:spacing w:line="276" w:lineRule="auto"/>
              <w:textAlignment w:val="baseline"/>
              <w:rPr>
                <w:rFonts w:eastAsia="Times New Roman" w:cs="Arial"/>
              </w:rPr>
            </w:pPr>
            <w:r>
              <w:t>(1) pour tous nos actifs sous gestion</w:t>
            </w:r>
          </w:p>
          <w:p w14:paraId="2178C931" w14:textId="65C336DC" w:rsidR="00AD508A" w:rsidRPr="003058F5" w:rsidRDefault="00AD508A" w:rsidP="00AD508A">
            <w:pPr>
              <w:spacing w:line="276" w:lineRule="auto"/>
              <w:textAlignment w:val="baseline"/>
              <w:rPr>
                <w:rFonts w:eastAsia="Times New Roman" w:cs="Arial"/>
              </w:rPr>
            </w:pPr>
            <w:r>
              <w:t>(2) pour plus de 50</w:t>
            </w:r>
            <w:r w:rsidR="00767929">
              <w:t> %</w:t>
            </w:r>
            <w:r>
              <w:t xml:space="preserve"> de nos actifs </w:t>
            </w:r>
            <w:r>
              <w:lastRenderedPageBreak/>
              <w:t>sous gestion</w:t>
            </w:r>
          </w:p>
          <w:p w14:paraId="36730EC4" w14:textId="0D1C8C2A" w:rsidR="00E73F76" w:rsidRPr="003058F5" w:rsidRDefault="00AD508A" w:rsidP="00F15919">
            <w:pPr>
              <w:spacing w:line="276" w:lineRule="auto"/>
              <w:textAlignment w:val="baseline"/>
              <w:rPr>
                <w:rFonts w:cs="Arial"/>
              </w:rPr>
            </w:pPr>
            <w:r>
              <w:t>(3) pour moins de 50</w:t>
            </w:r>
            <w:r w:rsidR="00767929">
              <w:t> %</w:t>
            </w:r>
            <w:r>
              <w:t xml:space="preserve"> de nos actifs sous gestion</w:t>
            </w:r>
          </w:p>
        </w:tc>
        <w:tc>
          <w:tcPr>
            <w:tcW w:w="1263" w:type="dxa"/>
            <w:gridSpan w:val="2"/>
            <w:shd w:val="clear" w:color="auto" w:fill="FFFFFF" w:themeFill="background1"/>
            <w:vAlign w:val="center"/>
          </w:tcPr>
          <w:p w14:paraId="58922A90" w14:textId="77777777" w:rsidR="00AD508A" w:rsidRPr="003058F5" w:rsidRDefault="00AD508A" w:rsidP="00AD508A">
            <w:pPr>
              <w:spacing w:line="276" w:lineRule="auto"/>
              <w:textAlignment w:val="baseline"/>
              <w:rPr>
                <w:rFonts w:eastAsia="Times New Roman" w:cs="Arial"/>
              </w:rPr>
            </w:pPr>
            <w:r>
              <w:lastRenderedPageBreak/>
              <w:t>[Liste déroulante]</w:t>
            </w:r>
          </w:p>
          <w:p w14:paraId="7A77C8E0" w14:textId="77777777" w:rsidR="00AD508A" w:rsidRPr="003058F5" w:rsidRDefault="00AD508A" w:rsidP="00AD508A">
            <w:pPr>
              <w:spacing w:line="276" w:lineRule="auto"/>
              <w:textAlignment w:val="baseline"/>
              <w:rPr>
                <w:rFonts w:eastAsia="Times New Roman" w:cs="Arial"/>
                <w:lang w:eastAsia="en-GB"/>
              </w:rPr>
            </w:pPr>
          </w:p>
          <w:p w14:paraId="60622F29" w14:textId="77777777" w:rsidR="00AD508A" w:rsidRPr="003058F5" w:rsidRDefault="00AD508A" w:rsidP="00AD508A">
            <w:pPr>
              <w:spacing w:line="276" w:lineRule="auto"/>
              <w:textAlignment w:val="baseline"/>
              <w:rPr>
                <w:rFonts w:eastAsia="Times New Roman" w:cs="Arial"/>
              </w:rPr>
            </w:pPr>
            <w:r>
              <w:t>(1) pour tous nos actifs sous gestion</w:t>
            </w:r>
          </w:p>
          <w:p w14:paraId="31B8266A" w14:textId="1B39CC80" w:rsidR="00AD508A" w:rsidRPr="003058F5" w:rsidRDefault="00AD508A" w:rsidP="00AD508A">
            <w:pPr>
              <w:spacing w:line="276" w:lineRule="auto"/>
              <w:textAlignment w:val="baseline"/>
              <w:rPr>
                <w:rFonts w:eastAsia="Times New Roman" w:cs="Arial"/>
              </w:rPr>
            </w:pPr>
            <w:r>
              <w:t>(2) pour plus de 50</w:t>
            </w:r>
            <w:r w:rsidR="00767929">
              <w:t> %</w:t>
            </w:r>
            <w:r>
              <w:t xml:space="preserve"> de nos actifs </w:t>
            </w:r>
            <w:r>
              <w:lastRenderedPageBreak/>
              <w:t>sous gestion</w:t>
            </w:r>
          </w:p>
          <w:p w14:paraId="770A46F2" w14:textId="1367088B" w:rsidR="00E73F76" w:rsidRPr="003058F5" w:rsidRDefault="00AD508A" w:rsidP="00F15919">
            <w:pPr>
              <w:spacing w:line="276" w:lineRule="auto"/>
              <w:textAlignment w:val="baseline"/>
              <w:rPr>
                <w:rFonts w:cs="Arial"/>
              </w:rPr>
            </w:pPr>
            <w:r>
              <w:t>(3) pour moins de 50</w:t>
            </w:r>
            <w:r w:rsidR="00767929">
              <w:t> %</w:t>
            </w:r>
            <w:r>
              <w:t xml:space="preserve"> de nos actifs sous gestion</w:t>
            </w:r>
          </w:p>
        </w:tc>
        <w:tc>
          <w:tcPr>
            <w:tcW w:w="1262" w:type="dxa"/>
            <w:shd w:val="clear" w:color="auto" w:fill="FFFFFF" w:themeFill="background1"/>
            <w:vAlign w:val="center"/>
          </w:tcPr>
          <w:p w14:paraId="0FA06F4F" w14:textId="77777777" w:rsidR="00AD508A" w:rsidRPr="003058F5" w:rsidRDefault="00AD508A" w:rsidP="00AD508A">
            <w:pPr>
              <w:spacing w:line="276" w:lineRule="auto"/>
              <w:textAlignment w:val="baseline"/>
              <w:rPr>
                <w:rFonts w:eastAsia="Times New Roman" w:cs="Arial"/>
              </w:rPr>
            </w:pPr>
            <w:r>
              <w:lastRenderedPageBreak/>
              <w:t>[Liste déroulante]</w:t>
            </w:r>
          </w:p>
          <w:p w14:paraId="18DAEC3D" w14:textId="77777777" w:rsidR="00AD508A" w:rsidRPr="003058F5" w:rsidRDefault="00AD508A" w:rsidP="00AD508A">
            <w:pPr>
              <w:spacing w:line="276" w:lineRule="auto"/>
              <w:textAlignment w:val="baseline"/>
              <w:rPr>
                <w:rFonts w:eastAsia="Times New Roman" w:cs="Arial"/>
                <w:lang w:eastAsia="en-GB"/>
              </w:rPr>
            </w:pPr>
          </w:p>
          <w:p w14:paraId="21A5AA87" w14:textId="77777777" w:rsidR="00AD508A" w:rsidRPr="003058F5" w:rsidRDefault="00AD508A" w:rsidP="00AD508A">
            <w:pPr>
              <w:spacing w:line="276" w:lineRule="auto"/>
              <w:textAlignment w:val="baseline"/>
              <w:rPr>
                <w:rFonts w:eastAsia="Times New Roman" w:cs="Arial"/>
              </w:rPr>
            </w:pPr>
            <w:r>
              <w:t>(1) pour tous nos actifs sous gestion</w:t>
            </w:r>
          </w:p>
          <w:p w14:paraId="6B8BCE60" w14:textId="72BF7F41" w:rsidR="00AD508A" w:rsidRPr="003058F5" w:rsidRDefault="00AD508A" w:rsidP="00AD508A">
            <w:pPr>
              <w:spacing w:line="276" w:lineRule="auto"/>
              <w:textAlignment w:val="baseline"/>
              <w:rPr>
                <w:rFonts w:eastAsia="Times New Roman" w:cs="Arial"/>
              </w:rPr>
            </w:pPr>
            <w:r>
              <w:t>(2) pour plus de 50</w:t>
            </w:r>
            <w:r w:rsidR="00767929">
              <w:t> %</w:t>
            </w:r>
            <w:r>
              <w:t xml:space="preserve"> de nos actifs </w:t>
            </w:r>
            <w:r>
              <w:lastRenderedPageBreak/>
              <w:t>sous gestion</w:t>
            </w:r>
          </w:p>
          <w:p w14:paraId="6050B8A2" w14:textId="3781DABF" w:rsidR="00E73F76" w:rsidRPr="003058F5" w:rsidRDefault="00AD508A" w:rsidP="00F15919">
            <w:pPr>
              <w:spacing w:line="276" w:lineRule="auto"/>
              <w:textAlignment w:val="baseline"/>
              <w:rPr>
                <w:rFonts w:cs="Arial"/>
              </w:rPr>
            </w:pPr>
            <w:r>
              <w:t>(3) pour moins de 50</w:t>
            </w:r>
            <w:r w:rsidR="00767929">
              <w:t> %</w:t>
            </w:r>
            <w:r>
              <w:t xml:space="preserve"> de nos actifs sous gestion</w:t>
            </w:r>
          </w:p>
        </w:tc>
        <w:tc>
          <w:tcPr>
            <w:tcW w:w="1264" w:type="dxa"/>
            <w:gridSpan w:val="2"/>
            <w:shd w:val="clear" w:color="auto" w:fill="FFFFFF" w:themeFill="background1"/>
            <w:vAlign w:val="center"/>
          </w:tcPr>
          <w:p w14:paraId="5CAB2BD7" w14:textId="77777777" w:rsidR="00AD508A" w:rsidRPr="003058F5" w:rsidRDefault="00AD508A" w:rsidP="00AD508A">
            <w:pPr>
              <w:spacing w:line="276" w:lineRule="auto"/>
              <w:textAlignment w:val="baseline"/>
              <w:rPr>
                <w:rFonts w:eastAsia="Times New Roman" w:cs="Arial"/>
              </w:rPr>
            </w:pPr>
            <w:r>
              <w:lastRenderedPageBreak/>
              <w:t>[Liste déroulante]</w:t>
            </w:r>
          </w:p>
          <w:p w14:paraId="2DBDBEE2" w14:textId="77777777" w:rsidR="00AD508A" w:rsidRPr="003058F5" w:rsidRDefault="00AD508A" w:rsidP="00AD508A">
            <w:pPr>
              <w:spacing w:line="276" w:lineRule="auto"/>
              <w:textAlignment w:val="baseline"/>
              <w:rPr>
                <w:rFonts w:eastAsia="Times New Roman" w:cs="Arial"/>
                <w:lang w:eastAsia="en-GB"/>
              </w:rPr>
            </w:pPr>
          </w:p>
          <w:p w14:paraId="6350AD88" w14:textId="77777777" w:rsidR="00AD508A" w:rsidRPr="003058F5" w:rsidRDefault="00AD508A" w:rsidP="00AD508A">
            <w:pPr>
              <w:spacing w:line="276" w:lineRule="auto"/>
              <w:textAlignment w:val="baseline"/>
              <w:rPr>
                <w:rFonts w:eastAsia="Times New Roman" w:cs="Arial"/>
              </w:rPr>
            </w:pPr>
            <w:r>
              <w:t>(1) pour tous nos actifs sous gestion</w:t>
            </w:r>
          </w:p>
          <w:p w14:paraId="291E148C" w14:textId="0BB1AE3A" w:rsidR="00AD508A" w:rsidRPr="003058F5" w:rsidRDefault="00AD508A" w:rsidP="00AD508A">
            <w:pPr>
              <w:spacing w:line="276" w:lineRule="auto"/>
              <w:textAlignment w:val="baseline"/>
              <w:rPr>
                <w:rFonts w:eastAsia="Times New Roman" w:cs="Arial"/>
              </w:rPr>
            </w:pPr>
            <w:r>
              <w:t>(2) pour plus de 50</w:t>
            </w:r>
            <w:r w:rsidR="00767929">
              <w:t> %</w:t>
            </w:r>
            <w:r>
              <w:t xml:space="preserve"> de nos actifs </w:t>
            </w:r>
            <w:r>
              <w:lastRenderedPageBreak/>
              <w:t>sous gestion</w:t>
            </w:r>
          </w:p>
          <w:p w14:paraId="0FC47336" w14:textId="3A759C92" w:rsidR="00E73F76" w:rsidRPr="003058F5" w:rsidRDefault="00AD508A" w:rsidP="00F15919">
            <w:pPr>
              <w:spacing w:line="276" w:lineRule="auto"/>
              <w:textAlignment w:val="baseline"/>
              <w:rPr>
                <w:rFonts w:cs="Arial"/>
              </w:rPr>
            </w:pPr>
            <w:r>
              <w:t>(3) pour moins de 50</w:t>
            </w:r>
            <w:r w:rsidR="00767929">
              <w:t> %</w:t>
            </w:r>
            <w:r>
              <w:t xml:space="preserve"> de nos actifs sous gestion</w:t>
            </w:r>
          </w:p>
        </w:tc>
        <w:tc>
          <w:tcPr>
            <w:tcW w:w="1263" w:type="dxa"/>
            <w:shd w:val="clear" w:color="auto" w:fill="FFFFFF" w:themeFill="background1"/>
            <w:vAlign w:val="center"/>
          </w:tcPr>
          <w:p w14:paraId="627F9CE6" w14:textId="77777777" w:rsidR="00AD508A" w:rsidRPr="003058F5" w:rsidRDefault="00AD508A" w:rsidP="00AD508A">
            <w:pPr>
              <w:spacing w:line="276" w:lineRule="auto"/>
              <w:textAlignment w:val="baseline"/>
              <w:rPr>
                <w:rFonts w:eastAsia="Times New Roman" w:cs="Arial"/>
              </w:rPr>
            </w:pPr>
            <w:r>
              <w:lastRenderedPageBreak/>
              <w:t>[Liste déroulante]</w:t>
            </w:r>
          </w:p>
          <w:p w14:paraId="54B319A5" w14:textId="77777777" w:rsidR="00AD508A" w:rsidRPr="003058F5" w:rsidRDefault="00AD508A" w:rsidP="00AD508A">
            <w:pPr>
              <w:spacing w:line="276" w:lineRule="auto"/>
              <w:textAlignment w:val="baseline"/>
              <w:rPr>
                <w:rFonts w:eastAsia="Times New Roman" w:cs="Arial"/>
                <w:lang w:eastAsia="en-GB"/>
              </w:rPr>
            </w:pPr>
          </w:p>
          <w:p w14:paraId="75EBA39B" w14:textId="77777777" w:rsidR="00AD508A" w:rsidRPr="003058F5" w:rsidRDefault="00AD508A" w:rsidP="00AD508A">
            <w:pPr>
              <w:spacing w:line="276" w:lineRule="auto"/>
              <w:textAlignment w:val="baseline"/>
              <w:rPr>
                <w:rFonts w:eastAsia="Times New Roman" w:cs="Arial"/>
              </w:rPr>
            </w:pPr>
            <w:r>
              <w:t>(1) pour tous nos actifs sous gestion</w:t>
            </w:r>
          </w:p>
          <w:p w14:paraId="6BF07B40" w14:textId="4D045B0A" w:rsidR="00AD508A" w:rsidRPr="003058F5" w:rsidRDefault="00AD508A" w:rsidP="00AD508A">
            <w:pPr>
              <w:spacing w:line="276" w:lineRule="auto"/>
              <w:textAlignment w:val="baseline"/>
              <w:rPr>
                <w:rFonts w:eastAsia="Times New Roman" w:cs="Arial"/>
              </w:rPr>
            </w:pPr>
            <w:r>
              <w:t>(2) pour plus de 50</w:t>
            </w:r>
            <w:r w:rsidR="00767929">
              <w:t> %</w:t>
            </w:r>
            <w:r>
              <w:t xml:space="preserve"> de nos actifs </w:t>
            </w:r>
            <w:r>
              <w:lastRenderedPageBreak/>
              <w:t>sous gestion</w:t>
            </w:r>
          </w:p>
          <w:p w14:paraId="3C39323E" w14:textId="3B256BD8" w:rsidR="00E73F76" w:rsidRPr="003058F5" w:rsidRDefault="00AD508A" w:rsidP="00F15919">
            <w:pPr>
              <w:spacing w:line="276" w:lineRule="auto"/>
              <w:textAlignment w:val="baseline"/>
              <w:rPr>
                <w:rFonts w:cs="Arial"/>
              </w:rPr>
            </w:pPr>
            <w:r>
              <w:t>(3) pour moins de 50</w:t>
            </w:r>
            <w:r w:rsidR="00767929">
              <w:t> %</w:t>
            </w:r>
            <w:r>
              <w:t xml:space="preserve"> de nos actifs sous gestion</w:t>
            </w:r>
          </w:p>
        </w:tc>
      </w:tr>
      <w:tr w:rsidR="00F15919" w:rsidRPr="003058F5" w14:paraId="7B6E852B" w14:textId="77777777" w:rsidTr="00F15919">
        <w:trPr>
          <w:trHeight w:val="216"/>
        </w:trPr>
        <w:tc>
          <w:tcPr>
            <w:tcW w:w="3369" w:type="dxa"/>
            <w:gridSpan w:val="2"/>
            <w:shd w:val="clear" w:color="auto" w:fill="FFFFFF" w:themeFill="background1"/>
            <w:tcMar>
              <w:top w:w="113" w:type="dxa"/>
              <w:left w:w="113" w:type="dxa"/>
              <w:bottom w:w="113" w:type="dxa"/>
              <w:right w:w="113" w:type="dxa"/>
            </w:tcMar>
            <w:vAlign w:val="center"/>
          </w:tcPr>
          <w:p w14:paraId="4A886914" w14:textId="0AF78A23" w:rsidR="005C1875" w:rsidRPr="003058F5" w:rsidRDefault="00E73F76">
            <w:pPr>
              <w:spacing w:line="276" w:lineRule="auto"/>
              <w:textAlignment w:val="baseline"/>
              <w:rPr>
                <w:rFonts w:cs="Arial"/>
              </w:rPr>
            </w:pPr>
            <w:r>
              <w:lastRenderedPageBreak/>
              <w:t>(B) Oui, nous disposons d’un processus formel, mais il ne comprend pas d'analyses de scénarios </w:t>
            </w:r>
          </w:p>
          <w:p w14:paraId="5964A6E2" w14:textId="15FC85F6" w:rsidR="00E73F76" w:rsidRPr="003058F5" w:rsidRDefault="00393227" w:rsidP="00F15919">
            <w:pPr>
              <w:spacing w:line="276" w:lineRule="auto"/>
              <w:textAlignment w:val="baseline"/>
              <w:rPr>
                <w:rFonts w:cs="Arial"/>
              </w:rPr>
            </w:pPr>
            <w:r>
              <w:t>Veuillez préciser</w:t>
            </w:r>
            <w:r w:rsidR="00767929">
              <w:t> :</w:t>
            </w:r>
            <w:r>
              <w:t xml:space="preserve"> ______ [Texte libre facultatif</w:t>
            </w:r>
            <w:r w:rsidR="00767929">
              <w:t> :</w:t>
            </w:r>
            <w:r>
              <w:t xml:space="preserve"> taille moyenne]</w:t>
            </w:r>
          </w:p>
        </w:tc>
        <w:tc>
          <w:tcPr>
            <w:tcW w:w="1262" w:type="dxa"/>
            <w:shd w:val="clear" w:color="auto" w:fill="EDEDED" w:themeFill="accent3" w:themeFillTint="33"/>
            <w:vAlign w:val="center"/>
          </w:tcPr>
          <w:p w14:paraId="6BFD51DA" w14:textId="01967C79" w:rsidR="00144253" w:rsidRPr="003058F5" w:rsidRDefault="00144253">
            <w:pPr>
              <w:spacing w:line="276" w:lineRule="auto"/>
              <w:textAlignment w:val="baseline"/>
              <w:rPr>
                <w:rFonts w:cs="Arial"/>
              </w:rPr>
            </w:pPr>
            <w:r>
              <w:t>[Comme ci-dessus]</w:t>
            </w:r>
          </w:p>
        </w:tc>
        <w:tc>
          <w:tcPr>
            <w:tcW w:w="1263" w:type="dxa"/>
            <w:shd w:val="clear" w:color="auto" w:fill="FFFFFF" w:themeFill="background1"/>
            <w:vAlign w:val="center"/>
          </w:tcPr>
          <w:p w14:paraId="05630DE3" w14:textId="0531CDCE" w:rsidR="00E73F76" w:rsidRPr="003058F5" w:rsidRDefault="00EB38D4" w:rsidP="00F15919">
            <w:pPr>
              <w:spacing w:line="276" w:lineRule="auto"/>
              <w:textAlignment w:val="baseline"/>
              <w:rPr>
                <w:rFonts w:cs="Arial"/>
              </w:rPr>
            </w:pPr>
            <w:r>
              <w:t>[Comme ci-dessus]</w:t>
            </w:r>
          </w:p>
        </w:tc>
        <w:tc>
          <w:tcPr>
            <w:tcW w:w="1263" w:type="dxa"/>
            <w:gridSpan w:val="2"/>
            <w:shd w:val="clear" w:color="auto" w:fill="FFFFFF" w:themeFill="background1"/>
            <w:vAlign w:val="center"/>
          </w:tcPr>
          <w:p w14:paraId="44187284" w14:textId="62B112E1" w:rsidR="00E73F76" w:rsidRPr="003058F5" w:rsidRDefault="00EB38D4" w:rsidP="00F15919">
            <w:pPr>
              <w:spacing w:line="276" w:lineRule="auto"/>
              <w:textAlignment w:val="baseline"/>
              <w:rPr>
                <w:rFonts w:cs="Arial"/>
              </w:rPr>
            </w:pPr>
            <w:r>
              <w:t>[Comme ci-dessus]</w:t>
            </w:r>
          </w:p>
        </w:tc>
        <w:tc>
          <w:tcPr>
            <w:tcW w:w="1263" w:type="dxa"/>
            <w:shd w:val="clear" w:color="auto" w:fill="FFFFFF" w:themeFill="background1"/>
            <w:vAlign w:val="center"/>
          </w:tcPr>
          <w:p w14:paraId="78EDFC81" w14:textId="3E2E2C2B" w:rsidR="00E73F76" w:rsidRPr="003058F5" w:rsidRDefault="00EB38D4" w:rsidP="00F15919">
            <w:pPr>
              <w:spacing w:line="276" w:lineRule="auto"/>
              <w:textAlignment w:val="baseline"/>
              <w:rPr>
                <w:rFonts w:cs="Arial"/>
              </w:rPr>
            </w:pPr>
            <w:r>
              <w:t>[Comme ci-dessus]</w:t>
            </w:r>
          </w:p>
        </w:tc>
        <w:tc>
          <w:tcPr>
            <w:tcW w:w="1262" w:type="dxa"/>
            <w:shd w:val="clear" w:color="auto" w:fill="FFFFFF" w:themeFill="background1"/>
            <w:vAlign w:val="center"/>
          </w:tcPr>
          <w:p w14:paraId="5CFCD6CD" w14:textId="0C6153D4" w:rsidR="00E73F76" w:rsidRPr="003058F5" w:rsidRDefault="00EB38D4" w:rsidP="00F15919">
            <w:pPr>
              <w:spacing w:line="276" w:lineRule="auto"/>
              <w:textAlignment w:val="baseline"/>
              <w:rPr>
                <w:rFonts w:cs="Arial"/>
              </w:rPr>
            </w:pPr>
            <w:r>
              <w:t>[Comme ci-dessus]</w:t>
            </w:r>
          </w:p>
        </w:tc>
        <w:tc>
          <w:tcPr>
            <w:tcW w:w="1263" w:type="dxa"/>
            <w:gridSpan w:val="2"/>
            <w:shd w:val="clear" w:color="auto" w:fill="FFFFFF" w:themeFill="background1"/>
            <w:vAlign w:val="center"/>
          </w:tcPr>
          <w:p w14:paraId="6AC94CB6" w14:textId="0CD99634" w:rsidR="00E73F76" w:rsidRPr="003058F5" w:rsidRDefault="00EB38D4" w:rsidP="00F15919">
            <w:pPr>
              <w:spacing w:line="276" w:lineRule="auto"/>
              <w:textAlignment w:val="baseline"/>
              <w:rPr>
                <w:rFonts w:cs="Arial"/>
              </w:rPr>
            </w:pPr>
            <w:r>
              <w:t>[Comme ci-dessus]</w:t>
            </w:r>
          </w:p>
        </w:tc>
        <w:tc>
          <w:tcPr>
            <w:tcW w:w="1262" w:type="dxa"/>
            <w:shd w:val="clear" w:color="auto" w:fill="FFFFFF" w:themeFill="background1"/>
            <w:vAlign w:val="center"/>
          </w:tcPr>
          <w:p w14:paraId="4790E4F1" w14:textId="2259825D" w:rsidR="00E73F76" w:rsidRPr="003058F5" w:rsidRDefault="00EB38D4" w:rsidP="00F15919">
            <w:pPr>
              <w:spacing w:line="276" w:lineRule="auto"/>
              <w:textAlignment w:val="baseline"/>
              <w:rPr>
                <w:rFonts w:cs="Arial"/>
              </w:rPr>
            </w:pPr>
            <w:r>
              <w:t>[Comme ci-dessus]</w:t>
            </w:r>
          </w:p>
        </w:tc>
        <w:tc>
          <w:tcPr>
            <w:tcW w:w="1264" w:type="dxa"/>
            <w:gridSpan w:val="2"/>
            <w:shd w:val="clear" w:color="auto" w:fill="FFFFFF" w:themeFill="background1"/>
            <w:vAlign w:val="center"/>
          </w:tcPr>
          <w:p w14:paraId="1B5FDACE" w14:textId="5EEAEFEB" w:rsidR="00E73F76" w:rsidRPr="003058F5" w:rsidRDefault="00EB38D4" w:rsidP="00F15919">
            <w:pPr>
              <w:spacing w:line="276" w:lineRule="auto"/>
              <w:textAlignment w:val="baseline"/>
              <w:rPr>
                <w:rFonts w:cs="Arial"/>
              </w:rPr>
            </w:pPr>
            <w:r>
              <w:t>[Comme ci-dessus]</w:t>
            </w:r>
          </w:p>
        </w:tc>
        <w:tc>
          <w:tcPr>
            <w:tcW w:w="1271" w:type="dxa"/>
            <w:gridSpan w:val="2"/>
            <w:shd w:val="clear" w:color="auto" w:fill="FFFFFF" w:themeFill="background1"/>
            <w:vAlign w:val="center"/>
          </w:tcPr>
          <w:p w14:paraId="0D1F0E26" w14:textId="7602E4CE" w:rsidR="00E73F76" w:rsidRPr="003058F5" w:rsidRDefault="00EB38D4" w:rsidP="00F15919">
            <w:pPr>
              <w:spacing w:line="276" w:lineRule="auto"/>
              <w:textAlignment w:val="baseline"/>
              <w:rPr>
                <w:rFonts w:cs="Arial"/>
              </w:rPr>
            </w:pPr>
            <w:r>
              <w:t>[Comme ci-dessus]</w:t>
            </w:r>
          </w:p>
        </w:tc>
      </w:tr>
      <w:tr w:rsidR="00F15919" w:rsidRPr="003058F5" w14:paraId="55E77744" w14:textId="77777777" w:rsidTr="00F15919">
        <w:trPr>
          <w:gridAfter w:val="1"/>
          <w:wAfter w:w="8" w:type="dxa"/>
          <w:trHeight w:val="216"/>
        </w:trPr>
        <w:tc>
          <w:tcPr>
            <w:tcW w:w="3369"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6E245567" w14:textId="13ABE717" w:rsidR="00E73F76" w:rsidRPr="003058F5" w:rsidRDefault="00E73F76" w:rsidP="00F15919">
            <w:pPr>
              <w:spacing w:line="276" w:lineRule="auto"/>
              <w:textAlignment w:val="baseline"/>
              <w:rPr>
                <w:rFonts w:cs="Arial"/>
              </w:rPr>
            </w:pPr>
            <w:r>
              <w:t xml:space="preserve">(C) Nous ne disposons pas de processus formel pour nos stratégies relatives aux fonds </w:t>
            </w:r>
            <w:proofErr w:type="spellStart"/>
            <w:r>
              <w:t>scpéculatifs</w:t>
            </w:r>
            <w:proofErr w:type="spellEnd"/>
            <w:r w:rsidR="00767929">
              <w:t> ;</w:t>
            </w:r>
            <w:r>
              <w:t xml:space="preserve"> nos professionnels de l'investissement surveillent à leur discrétion les conséquences de l’évolution des tendances ESG </w:t>
            </w:r>
          </w:p>
        </w:tc>
        <w:tc>
          <w:tcPr>
            <w:tcW w:w="1262" w:type="dxa"/>
            <w:shd w:val="clear" w:color="auto" w:fill="EDEDED" w:themeFill="accent3" w:themeFillTint="33"/>
            <w:vAlign w:val="center"/>
          </w:tcPr>
          <w:p w14:paraId="5D5ECBD1" w14:textId="77777777" w:rsidR="00687A00" w:rsidRPr="003058F5" w:rsidRDefault="00687A00">
            <w:pPr>
              <w:pStyle w:val="Paragraphedeliste"/>
              <w:numPr>
                <w:ilvl w:val="0"/>
                <w:numId w:val="75"/>
              </w:numPr>
              <w:spacing w:line="276" w:lineRule="auto"/>
              <w:ind w:hanging="524"/>
              <w:jc w:val="center"/>
              <w:textAlignment w:val="baseline"/>
              <w:rPr>
                <w:rFonts w:cs="Arial"/>
              </w:rPr>
            </w:pPr>
          </w:p>
        </w:tc>
        <w:tc>
          <w:tcPr>
            <w:tcW w:w="1263" w:type="dxa"/>
            <w:shd w:val="clear" w:color="auto" w:fill="FFFFFF" w:themeFill="background1"/>
            <w:vAlign w:val="center"/>
          </w:tcPr>
          <w:p w14:paraId="02ED31FB" w14:textId="0A2C37A1" w:rsidR="00E73F76" w:rsidRPr="003058F5" w:rsidRDefault="00E73F76" w:rsidP="00F15919">
            <w:pPr>
              <w:pStyle w:val="Paragraphedeliste"/>
              <w:numPr>
                <w:ilvl w:val="0"/>
                <w:numId w:val="75"/>
              </w:numPr>
              <w:spacing w:line="276" w:lineRule="auto"/>
              <w:ind w:hanging="524"/>
              <w:jc w:val="center"/>
              <w:textAlignment w:val="baseline"/>
              <w:rPr>
                <w:rFonts w:cs="Arial"/>
              </w:rPr>
            </w:pPr>
          </w:p>
        </w:tc>
        <w:tc>
          <w:tcPr>
            <w:tcW w:w="1263" w:type="dxa"/>
            <w:gridSpan w:val="2"/>
            <w:tcBorders>
              <w:bottom w:val="single" w:sz="6" w:space="0" w:color="A6A6A6" w:themeColor="background1" w:themeShade="A6"/>
            </w:tcBorders>
            <w:shd w:val="clear" w:color="auto" w:fill="FFFFFF" w:themeFill="background1"/>
            <w:vAlign w:val="center"/>
          </w:tcPr>
          <w:p w14:paraId="60A30A7A" w14:textId="77777777" w:rsidR="00E73F76" w:rsidRPr="003058F5" w:rsidRDefault="00E73F76" w:rsidP="00F15919">
            <w:pPr>
              <w:pStyle w:val="Paragraphedeliste"/>
              <w:numPr>
                <w:ilvl w:val="0"/>
                <w:numId w:val="75"/>
              </w:numPr>
              <w:spacing w:line="276" w:lineRule="auto"/>
              <w:ind w:hanging="524"/>
              <w:jc w:val="center"/>
              <w:textAlignment w:val="baseline"/>
              <w:rPr>
                <w:rFonts w:cs="Arial"/>
              </w:rPr>
            </w:pPr>
          </w:p>
        </w:tc>
        <w:tc>
          <w:tcPr>
            <w:tcW w:w="1263" w:type="dxa"/>
            <w:tcBorders>
              <w:bottom w:val="single" w:sz="6" w:space="0" w:color="A6A6A6" w:themeColor="background1" w:themeShade="A6"/>
            </w:tcBorders>
            <w:shd w:val="clear" w:color="auto" w:fill="FFFFFF" w:themeFill="background1"/>
            <w:vAlign w:val="center"/>
          </w:tcPr>
          <w:p w14:paraId="69D5CF2D" w14:textId="77777777" w:rsidR="00E73F76" w:rsidRPr="003058F5" w:rsidRDefault="00E73F76" w:rsidP="00F15919">
            <w:pPr>
              <w:pStyle w:val="Paragraphedeliste"/>
              <w:numPr>
                <w:ilvl w:val="0"/>
                <w:numId w:val="75"/>
              </w:numPr>
              <w:spacing w:line="276" w:lineRule="auto"/>
              <w:ind w:hanging="524"/>
              <w:jc w:val="center"/>
              <w:textAlignment w:val="baseline"/>
              <w:rPr>
                <w:rFonts w:cs="Arial"/>
              </w:rPr>
            </w:pPr>
          </w:p>
        </w:tc>
        <w:tc>
          <w:tcPr>
            <w:tcW w:w="1262" w:type="dxa"/>
            <w:tcBorders>
              <w:bottom w:val="single" w:sz="6" w:space="0" w:color="A6A6A6" w:themeColor="background1" w:themeShade="A6"/>
            </w:tcBorders>
            <w:shd w:val="clear" w:color="auto" w:fill="FFFFFF" w:themeFill="background1"/>
            <w:vAlign w:val="center"/>
          </w:tcPr>
          <w:p w14:paraId="4A79CE8F" w14:textId="77777777" w:rsidR="00E73F76" w:rsidRPr="003058F5" w:rsidRDefault="00E73F76" w:rsidP="00F15919">
            <w:pPr>
              <w:pStyle w:val="Paragraphedeliste"/>
              <w:numPr>
                <w:ilvl w:val="0"/>
                <w:numId w:val="75"/>
              </w:numPr>
              <w:spacing w:line="276" w:lineRule="auto"/>
              <w:ind w:hanging="524"/>
              <w:jc w:val="center"/>
              <w:textAlignment w:val="baseline"/>
              <w:rPr>
                <w:rFonts w:cs="Arial"/>
              </w:rPr>
            </w:pPr>
          </w:p>
        </w:tc>
        <w:tc>
          <w:tcPr>
            <w:tcW w:w="1263" w:type="dxa"/>
            <w:gridSpan w:val="2"/>
            <w:tcBorders>
              <w:bottom w:val="single" w:sz="6" w:space="0" w:color="A6A6A6" w:themeColor="background1" w:themeShade="A6"/>
            </w:tcBorders>
            <w:shd w:val="clear" w:color="auto" w:fill="FFFFFF" w:themeFill="background1"/>
            <w:vAlign w:val="center"/>
          </w:tcPr>
          <w:p w14:paraId="3DF61C4A" w14:textId="77777777" w:rsidR="00E73F76" w:rsidRPr="003058F5" w:rsidRDefault="00E73F76" w:rsidP="00F15919">
            <w:pPr>
              <w:pStyle w:val="Paragraphedeliste"/>
              <w:numPr>
                <w:ilvl w:val="0"/>
                <w:numId w:val="75"/>
              </w:numPr>
              <w:spacing w:line="276" w:lineRule="auto"/>
              <w:ind w:hanging="524"/>
              <w:jc w:val="center"/>
              <w:textAlignment w:val="baseline"/>
              <w:rPr>
                <w:rFonts w:cs="Arial"/>
              </w:rPr>
            </w:pPr>
          </w:p>
        </w:tc>
        <w:tc>
          <w:tcPr>
            <w:tcW w:w="1262" w:type="dxa"/>
            <w:tcBorders>
              <w:bottom w:val="single" w:sz="6" w:space="0" w:color="A6A6A6" w:themeColor="background1" w:themeShade="A6"/>
            </w:tcBorders>
            <w:shd w:val="clear" w:color="auto" w:fill="FFFFFF" w:themeFill="background1"/>
            <w:vAlign w:val="center"/>
          </w:tcPr>
          <w:p w14:paraId="25A822A5" w14:textId="77777777" w:rsidR="00E73F76" w:rsidRPr="003058F5" w:rsidRDefault="00E73F76" w:rsidP="00F15919">
            <w:pPr>
              <w:pStyle w:val="Paragraphedeliste"/>
              <w:numPr>
                <w:ilvl w:val="0"/>
                <w:numId w:val="75"/>
              </w:numPr>
              <w:spacing w:line="276" w:lineRule="auto"/>
              <w:ind w:hanging="524"/>
              <w:jc w:val="center"/>
              <w:textAlignment w:val="baseline"/>
              <w:rPr>
                <w:rFonts w:cs="Arial"/>
              </w:rPr>
            </w:pPr>
          </w:p>
        </w:tc>
        <w:tc>
          <w:tcPr>
            <w:tcW w:w="1264" w:type="dxa"/>
            <w:gridSpan w:val="2"/>
            <w:tcBorders>
              <w:bottom w:val="single" w:sz="6" w:space="0" w:color="A6A6A6" w:themeColor="background1" w:themeShade="A6"/>
            </w:tcBorders>
            <w:shd w:val="clear" w:color="auto" w:fill="FFFFFF" w:themeFill="background1"/>
            <w:vAlign w:val="center"/>
          </w:tcPr>
          <w:p w14:paraId="1462D16E" w14:textId="77777777" w:rsidR="00E73F76" w:rsidRPr="003058F5" w:rsidRDefault="00E73F76" w:rsidP="00F15919">
            <w:pPr>
              <w:pStyle w:val="Paragraphedeliste"/>
              <w:numPr>
                <w:ilvl w:val="0"/>
                <w:numId w:val="75"/>
              </w:numPr>
              <w:spacing w:line="276" w:lineRule="auto"/>
              <w:ind w:hanging="524"/>
              <w:jc w:val="center"/>
              <w:textAlignment w:val="baseline"/>
              <w:rPr>
                <w:rFonts w:cs="Arial"/>
              </w:rPr>
            </w:pPr>
          </w:p>
        </w:tc>
        <w:tc>
          <w:tcPr>
            <w:tcW w:w="1263" w:type="dxa"/>
            <w:tcBorders>
              <w:bottom w:val="single" w:sz="6" w:space="0" w:color="A6A6A6" w:themeColor="background1" w:themeShade="A6"/>
            </w:tcBorders>
            <w:shd w:val="clear" w:color="auto" w:fill="FFFFFF" w:themeFill="background1"/>
            <w:vAlign w:val="center"/>
          </w:tcPr>
          <w:p w14:paraId="6571B2DB" w14:textId="3B85BAFA" w:rsidR="00E73F76" w:rsidRPr="003058F5" w:rsidRDefault="00E73F76" w:rsidP="00F15919">
            <w:pPr>
              <w:pStyle w:val="Paragraphedeliste"/>
              <w:numPr>
                <w:ilvl w:val="0"/>
                <w:numId w:val="75"/>
              </w:numPr>
              <w:spacing w:line="276" w:lineRule="auto"/>
              <w:ind w:hanging="524"/>
              <w:jc w:val="center"/>
              <w:textAlignment w:val="baseline"/>
              <w:rPr>
                <w:rFonts w:cs="Arial"/>
              </w:rPr>
            </w:pPr>
          </w:p>
        </w:tc>
      </w:tr>
      <w:tr w:rsidR="00F15919" w:rsidRPr="003058F5" w14:paraId="7AE8718A" w14:textId="77777777" w:rsidTr="00F15919">
        <w:trPr>
          <w:gridAfter w:val="1"/>
          <w:wAfter w:w="8" w:type="dxa"/>
          <w:trHeight w:val="216"/>
        </w:trPr>
        <w:tc>
          <w:tcPr>
            <w:tcW w:w="3369"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3E6B081A" w14:textId="6810BC41" w:rsidR="00700588" w:rsidRPr="003058F5" w:rsidRDefault="00700588">
            <w:pPr>
              <w:spacing w:line="276" w:lineRule="auto"/>
              <w:textAlignment w:val="baseline"/>
              <w:rPr>
                <w:rFonts w:cs="Arial"/>
              </w:rPr>
            </w:pPr>
            <w:r>
              <w:t>(D) Nous ne suivons pas et n'examinons pas les conséquences de l'évolution des tendances ESG sur nos stratégies relatives aux fonds spéculatifs</w:t>
            </w:r>
          </w:p>
        </w:tc>
        <w:tc>
          <w:tcPr>
            <w:tcW w:w="1262" w:type="dxa"/>
            <w:tcBorders>
              <w:bottom w:val="single" w:sz="6" w:space="0" w:color="A6A6A6" w:themeColor="background1" w:themeShade="A6"/>
            </w:tcBorders>
            <w:shd w:val="clear" w:color="auto" w:fill="EDEDED" w:themeFill="accent3" w:themeFillTint="33"/>
            <w:vAlign w:val="center"/>
          </w:tcPr>
          <w:p w14:paraId="537929EC" w14:textId="77777777" w:rsidR="00687A00" w:rsidRPr="003058F5" w:rsidRDefault="00687A00">
            <w:pPr>
              <w:pStyle w:val="Paragraphedeliste"/>
              <w:numPr>
                <w:ilvl w:val="0"/>
                <w:numId w:val="75"/>
              </w:numPr>
              <w:spacing w:line="276" w:lineRule="auto"/>
              <w:ind w:hanging="524"/>
              <w:jc w:val="center"/>
              <w:textAlignment w:val="baseline"/>
              <w:rPr>
                <w:rFonts w:cs="Arial"/>
              </w:rPr>
            </w:pPr>
          </w:p>
        </w:tc>
        <w:tc>
          <w:tcPr>
            <w:tcW w:w="1263" w:type="dxa"/>
            <w:tcBorders>
              <w:bottom w:val="single" w:sz="6" w:space="0" w:color="A6A6A6" w:themeColor="background1" w:themeShade="A6"/>
            </w:tcBorders>
            <w:shd w:val="clear" w:color="auto" w:fill="FFFFFF" w:themeFill="background1"/>
            <w:vAlign w:val="center"/>
          </w:tcPr>
          <w:p w14:paraId="2B229561" w14:textId="5695FF8A" w:rsidR="00700588" w:rsidRPr="003058F5" w:rsidRDefault="00700588" w:rsidP="00F15919">
            <w:pPr>
              <w:pStyle w:val="Paragraphedeliste"/>
              <w:numPr>
                <w:ilvl w:val="0"/>
                <w:numId w:val="75"/>
              </w:numPr>
              <w:spacing w:line="276" w:lineRule="auto"/>
              <w:ind w:hanging="524"/>
              <w:jc w:val="center"/>
              <w:textAlignment w:val="baseline"/>
              <w:rPr>
                <w:rFonts w:cs="Arial"/>
              </w:rPr>
            </w:pPr>
          </w:p>
        </w:tc>
        <w:tc>
          <w:tcPr>
            <w:tcW w:w="1263" w:type="dxa"/>
            <w:gridSpan w:val="2"/>
            <w:tcBorders>
              <w:bottom w:val="single" w:sz="6" w:space="0" w:color="A6A6A6" w:themeColor="background1" w:themeShade="A6"/>
            </w:tcBorders>
            <w:shd w:val="clear" w:color="auto" w:fill="FFFFFF" w:themeFill="background1"/>
            <w:vAlign w:val="center"/>
          </w:tcPr>
          <w:p w14:paraId="68C96C19" w14:textId="77777777" w:rsidR="00700588" w:rsidRPr="003058F5" w:rsidRDefault="00700588" w:rsidP="00F15919">
            <w:pPr>
              <w:pStyle w:val="Paragraphedeliste"/>
              <w:numPr>
                <w:ilvl w:val="0"/>
                <w:numId w:val="75"/>
              </w:numPr>
              <w:spacing w:line="276" w:lineRule="auto"/>
              <w:ind w:hanging="524"/>
              <w:jc w:val="center"/>
              <w:textAlignment w:val="baseline"/>
              <w:rPr>
                <w:rFonts w:cs="Arial"/>
              </w:rPr>
            </w:pPr>
          </w:p>
        </w:tc>
        <w:tc>
          <w:tcPr>
            <w:tcW w:w="1263" w:type="dxa"/>
            <w:tcBorders>
              <w:bottom w:val="single" w:sz="6" w:space="0" w:color="A6A6A6" w:themeColor="background1" w:themeShade="A6"/>
            </w:tcBorders>
            <w:shd w:val="clear" w:color="auto" w:fill="FFFFFF" w:themeFill="background1"/>
            <w:vAlign w:val="center"/>
          </w:tcPr>
          <w:p w14:paraId="1244EE53" w14:textId="77777777" w:rsidR="00700588" w:rsidRPr="003058F5" w:rsidRDefault="00700588" w:rsidP="00F15919">
            <w:pPr>
              <w:pStyle w:val="Paragraphedeliste"/>
              <w:numPr>
                <w:ilvl w:val="0"/>
                <w:numId w:val="75"/>
              </w:numPr>
              <w:spacing w:line="276" w:lineRule="auto"/>
              <w:ind w:hanging="524"/>
              <w:jc w:val="center"/>
              <w:textAlignment w:val="baseline"/>
              <w:rPr>
                <w:rFonts w:cs="Arial"/>
              </w:rPr>
            </w:pPr>
          </w:p>
        </w:tc>
        <w:tc>
          <w:tcPr>
            <w:tcW w:w="1262" w:type="dxa"/>
            <w:tcBorders>
              <w:bottom w:val="single" w:sz="6" w:space="0" w:color="A6A6A6" w:themeColor="background1" w:themeShade="A6"/>
            </w:tcBorders>
            <w:shd w:val="clear" w:color="auto" w:fill="FFFFFF" w:themeFill="background1"/>
            <w:vAlign w:val="center"/>
          </w:tcPr>
          <w:p w14:paraId="7977A790" w14:textId="77777777" w:rsidR="00700588" w:rsidRPr="003058F5" w:rsidRDefault="00700588" w:rsidP="00F15919">
            <w:pPr>
              <w:pStyle w:val="Paragraphedeliste"/>
              <w:numPr>
                <w:ilvl w:val="0"/>
                <w:numId w:val="75"/>
              </w:numPr>
              <w:spacing w:line="276" w:lineRule="auto"/>
              <w:ind w:hanging="524"/>
              <w:jc w:val="center"/>
              <w:textAlignment w:val="baseline"/>
              <w:rPr>
                <w:rFonts w:cs="Arial"/>
              </w:rPr>
            </w:pPr>
          </w:p>
        </w:tc>
        <w:tc>
          <w:tcPr>
            <w:tcW w:w="1263" w:type="dxa"/>
            <w:gridSpan w:val="2"/>
            <w:tcBorders>
              <w:bottom w:val="single" w:sz="6" w:space="0" w:color="A6A6A6" w:themeColor="background1" w:themeShade="A6"/>
            </w:tcBorders>
            <w:shd w:val="clear" w:color="auto" w:fill="FFFFFF" w:themeFill="background1"/>
            <w:vAlign w:val="center"/>
          </w:tcPr>
          <w:p w14:paraId="7E642F1A" w14:textId="77777777" w:rsidR="00700588" w:rsidRPr="003058F5" w:rsidRDefault="00700588" w:rsidP="00F15919">
            <w:pPr>
              <w:pStyle w:val="Paragraphedeliste"/>
              <w:numPr>
                <w:ilvl w:val="0"/>
                <w:numId w:val="75"/>
              </w:numPr>
              <w:spacing w:line="276" w:lineRule="auto"/>
              <w:ind w:hanging="524"/>
              <w:jc w:val="center"/>
              <w:textAlignment w:val="baseline"/>
              <w:rPr>
                <w:rFonts w:cs="Arial"/>
              </w:rPr>
            </w:pPr>
          </w:p>
        </w:tc>
        <w:tc>
          <w:tcPr>
            <w:tcW w:w="1262" w:type="dxa"/>
            <w:tcBorders>
              <w:bottom w:val="single" w:sz="6" w:space="0" w:color="A6A6A6" w:themeColor="background1" w:themeShade="A6"/>
            </w:tcBorders>
            <w:shd w:val="clear" w:color="auto" w:fill="FFFFFF" w:themeFill="background1"/>
            <w:vAlign w:val="center"/>
          </w:tcPr>
          <w:p w14:paraId="646FF8F2" w14:textId="77777777" w:rsidR="00700588" w:rsidRPr="003058F5" w:rsidRDefault="00700588" w:rsidP="00F15919">
            <w:pPr>
              <w:pStyle w:val="Paragraphedeliste"/>
              <w:numPr>
                <w:ilvl w:val="0"/>
                <w:numId w:val="75"/>
              </w:numPr>
              <w:spacing w:line="276" w:lineRule="auto"/>
              <w:ind w:hanging="524"/>
              <w:jc w:val="center"/>
              <w:textAlignment w:val="baseline"/>
              <w:rPr>
                <w:rFonts w:cs="Arial"/>
              </w:rPr>
            </w:pPr>
          </w:p>
        </w:tc>
        <w:tc>
          <w:tcPr>
            <w:tcW w:w="1264" w:type="dxa"/>
            <w:gridSpan w:val="2"/>
            <w:tcBorders>
              <w:bottom w:val="single" w:sz="6" w:space="0" w:color="A6A6A6" w:themeColor="background1" w:themeShade="A6"/>
            </w:tcBorders>
            <w:shd w:val="clear" w:color="auto" w:fill="FFFFFF" w:themeFill="background1"/>
            <w:vAlign w:val="center"/>
          </w:tcPr>
          <w:p w14:paraId="36AE4989" w14:textId="77777777" w:rsidR="00700588" w:rsidRPr="003058F5" w:rsidRDefault="00700588" w:rsidP="00F15919">
            <w:pPr>
              <w:pStyle w:val="Paragraphedeliste"/>
              <w:numPr>
                <w:ilvl w:val="0"/>
                <w:numId w:val="75"/>
              </w:numPr>
              <w:spacing w:line="276" w:lineRule="auto"/>
              <w:ind w:hanging="524"/>
              <w:jc w:val="center"/>
              <w:textAlignment w:val="baseline"/>
              <w:rPr>
                <w:rFonts w:cs="Arial"/>
              </w:rPr>
            </w:pPr>
          </w:p>
        </w:tc>
        <w:tc>
          <w:tcPr>
            <w:tcW w:w="1263" w:type="dxa"/>
            <w:tcBorders>
              <w:bottom w:val="single" w:sz="6" w:space="0" w:color="A6A6A6" w:themeColor="background1" w:themeShade="A6"/>
            </w:tcBorders>
            <w:shd w:val="clear" w:color="auto" w:fill="FFFFFF" w:themeFill="background1"/>
            <w:vAlign w:val="center"/>
          </w:tcPr>
          <w:p w14:paraId="5747DCA4" w14:textId="77777777" w:rsidR="00700588" w:rsidRPr="003058F5" w:rsidRDefault="00700588" w:rsidP="00F15919">
            <w:pPr>
              <w:pStyle w:val="Paragraphedeliste"/>
              <w:numPr>
                <w:ilvl w:val="0"/>
                <w:numId w:val="75"/>
              </w:numPr>
              <w:spacing w:line="276" w:lineRule="auto"/>
              <w:ind w:hanging="524"/>
              <w:jc w:val="center"/>
              <w:textAlignment w:val="baseline"/>
              <w:rPr>
                <w:rFonts w:cs="Arial"/>
              </w:rPr>
            </w:pPr>
          </w:p>
        </w:tc>
      </w:tr>
    </w:tbl>
    <w:p w14:paraId="5FFB91A3" w14:textId="77777777" w:rsidR="006B283A" w:rsidRPr="003058F5" w:rsidRDefault="006B283A"/>
    <w:tbl>
      <w:tblPr>
        <w:tblW w:w="14742"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Layout w:type="fixed"/>
        <w:tblCellMar>
          <w:top w:w="57" w:type="dxa"/>
          <w:left w:w="113" w:type="dxa"/>
          <w:bottom w:w="57" w:type="dxa"/>
          <w:right w:w="113" w:type="dxa"/>
        </w:tblCellMar>
        <w:tblLook w:val="04A0" w:firstRow="1" w:lastRow="0" w:firstColumn="1" w:lastColumn="0" w:noHBand="0" w:noVBand="1"/>
      </w:tblPr>
      <w:tblGrid>
        <w:gridCol w:w="1510"/>
        <w:gridCol w:w="7"/>
        <w:gridCol w:w="3909"/>
        <w:gridCol w:w="515"/>
        <w:gridCol w:w="5968"/>
        <w:gridCol w:w="2833"/>
      </w:tblGrid>
      <w:tr w:rsidR="0083526D" w:rsidRPr="003058F5" w14:paraId="7D5776EE" w14:textId="77777777" w:rsidTr="00BE0934">
        <w:trPr>
          <w:trHeight w:val="300"/>
        </w:trPr>
        <w:tc>
          <w:tcPr>
            <w:tcW w:w="14742" w:type="dxa"/>
            <w:gridSpan w:val="6"/>
            <w:shd w:val="clear" w:color="auto" w:fill="0070C0"/>
            <w:vAlign w:val="center"/>
          </w:tcPr>
          <w:p w14:paraId="07770DC2" w14:textId="77777777" w:rsidR="0083526D" w:rsidRPr="003058F5" w:rsidRDefault="0083526D" w:rsidP="00A276C9">
            <w:pPr>
              <w:rPr>
                <w:rStyle w:val="Lienhypertexte"/>
                <w:b/>
                <w:bCs/>
                <w:color w:val="FFFFFF" w:themeColor="background1"/>
                <w:sz w:val="18"/>
                <w:szCs w:val="18"/>
              </w:rPr>
            </w:pPr>
            <w:r>
              <w:rPr>
                <w:b/>
                <w:color w:val="FFFFFF" w:themeColor="background1"/>
                <w:sz w:val="18"/>
              </w:rPr>
              <w:t>Notes explicatives</w:t>
            </w:r>
          </w:p>
        </w:tc>
      </w:tr>
      <w:tr w:rsidR="0083526D" w:rsidRPr="003058F5" w14:paraId="564AB08A" w14:textId="77777777" w:rsidTr="00BE0934">
        <w:trPr>
          <w:trHeight w:val="300"/>
        </w:trPr>
        <w:tc>
          <w:tcPr>
            <w:tcW w:w="1510" w:type="dxa"/>
            <w:shd w:val="clear" w:color="auto" w:fill="auto"/>
            <w:vAlign w:val="center"/>
          </w:tcPr>
          <w:p w14:paraId="1F7A9627" w14:textId="77777777" w:rsidR="0083526D" w:rsidRPr="003058F5" w:rsidRDefault="0083526D" w:rsidP="00A276C9">
            <w:pPr>
              <w:rPr>
                <w:rStyle w:val="Lienhypertexte"/>
                <w:b/>
                <w:sz w:val="16"/>
                <w:szCs w:val="16"/>
              </w:rPr>
            </w:pPr>
            <w:r>
              <w:rPr>
                <w:b/>
                <w:sz w:val="16"/>
              </w:rPr>
              <w:lastRenderedPageBreak/>
              <w:t>Objectif de l’indicateur</w:t>
            </w:r>
          </w:p>
        </w:tc>
        <w:tc>
          <w:tcPr>
            <w:tcW w:w="13232" w:type="dxa"/>
            <w:gridSpan w:val="5"/>
            <w:shd w:val="clear" w:color="auto" w:fill="auto"/>
            <w:vAlign w:val="center"/>
          </w:tcPr>
          <w:p w14:paraId="3CDF1C3A" w14:textId="2DFCC905" w:rsidR="0083526D" w:rsidRPr="003058F5" w:rsidRDefault="006045BC" w:rsidP="00A276C9">
            <w:pPr>
              <w:rPr>
                <w:rStyle w:val="Lienhypertexte"/>
                <w:color w:val="000000" w:themeColor="text1"/>
                <w:sz w:val="16"/>
                <w:szCs w:val="16"/>
              </w:rPr>
            </w:pPr>
            <w:r>
              <w:rPr>
                <w:rStyle w:val="Lienhypertexte"/>
                <w:color w:val="000000" w:themeColor="text1"/>
                <w:sz w:val="16"/>
              </w:rPr>
              <w:t>Cet indicateur vise à évaluer si les signataires ont formalisé l'examen et le suivi de l'évolution des tendances ESG dans le cadre de leur processus d'investissement. Une fois que les critères ESG majeurs ont été identifiés (qu’ils soient avérés ou éventuels), il est recommandé de disposer d’un processus formel qui s'applique à tous les actifs sous gestion dans toutes les différentes stratégies relatives aux fonds spéculatifs pour surveiller et examiner les conséquences de l’évolution des tendances ESG. Ce processus devrait inclure une analyse de scénarios pour évaluer l'impact de ces tendances sur les participations existantes.</w:t>
            </w:r>
          </w:p>
        </w:tc>
      </w:tr>
      <w:tr w:rsidR="00457488" w:rsidRPr="003058F5" w14:paraId="118DA5AA" w14:textId="77777777" w:rsidTr="00BE0934">
        <w:trPr>
          <w:trHeight w:val="300"/>
        </w:trPr>
        <w:tc>
          <w:tcPr>
            <w:tcW w:w="1510" w:type="dxa"/>
            <w:shd w:val="clear" w:color="auto" w:fill="auto"/>
            <w:vAlign w:val="center"/>
          </w:tcPr>
          <w:p w14:paraId="2922B57C" w14:textId="44CD2416" w:rsidR="00457488" w:rsidRPr="003058F5" w:rsidRDefault="004B4572" w:rsidP="00457488">
            <w:pPr>
              <w:rPr>
                <w:b/>
                <w:bCs/>
                <w:sz w:val="16"/>
                <w:szCs w:val="16"/>
              </w:rPr>
            </w:pPr>
            <w:r>
              <w:rPr>
                <w:b/>
                <w:sz w:val="16"/>
              </w:rPr>
              <w:t>Recommandations supplémentaires</w:t>
            </w:r>
            <w:r w:rsidR="00457488">
              <w:rPr>
                <w:b/>
                <w:sz w:val="16"/>
              </w:rPr>
              <w:t xml:space="preserve"> en matière de </w:t>
            </w:r>
            <w:proofErr w:type="spellStart"/>
            <w:r w:rsidR="00457488">
              <w:rPr>
                <w:b/>
                <w:sz w:val="16"/>
              </w:rPr>
              <w:t>reporting</w:t>
            </w:r>
            <w:proofErr w:type="spellEnd"/>
          </w:p>
        </w:tc>
        <w:tc>
          <w:tcPr>
            <w:tcW w:w="13232" w:type="dxa"/>
            <w:gridSpan w:val="5"/>
            <w:shd w:val="clear" w:color="auto" w:fill="auto"/>
            <w:vAlign w:val="center"/>
          </w:tcPr>
          <w:p w14:paraId="69A8F814" w14:textId="0E807BE0" w:rsidR="008164B2" w:rsidRPr="003058F5" w:rsidRDefault="008164B2" w:rsidP="00457488">
            <w:pPr>
              <w:rPr>
                <w:rStyle w:val="Lienhypertexte"/>
                <w:color w:val="000000" w:themeColor="text1"/>
                <w:sz w:val="16"/>
                <w:szCs w:val="16"/>
              </w:rPr>
            </w:pPr>
            <w:r>
              <w:rPr>
                <w:rStyle w:val="Lienhypertexte"/>
                <w:color w:val="000000" w:themeColor="text1"/>
                <w:sz w:val="16"/>
              </w:rPr>
              <w:t xml:space="preserve">Dans cet indicateur, un processus </w:t>
            </w:r>
            <w:r w:rsidR="00FC3BD3">
              <w:rPr>
                <w:rStyle w:val="Lienhypertexte"/>
                <w:color w:val="000000" w:themeColor="text1"/>
                <w:sz w:val="16"/>
              </w:rPr>
              <w:t>« </w:t>
            </w:r>
            <w:r>
              <w:rPr>
                <w:rStyle w:val="Lienhypertexte"/>
                <w:color w:val="000000" w:themeColor="text1"/>
                <w:sz w:val="16"/>
              </w:rPr>
              <w:t>formel</w:t>
            </w:r>
            <w:r w:rsidR="00FC3BD3">
              <w:rPr>
                <w:rStyle w:val="Lienhypertexte"/>
                <w:color w:val="000000" w:themeColor="text1"/>
                <w:sz w:val="16"/>
              </w:rPr>
              <w:t> »</w:t>
            </w:r>
            <w:r>
              <w:rPr>
                <w:rStyle w:val="Lienhypertexte"/>
                <w:color w:val="000000" w:themeColor="text1"/>
                <w:sz w:val="16"/>
              </w:rPr>
              <w:t xml:space="preserve"> fait référence à une structure et à </w:t>
            </w:r>
            <w:proofErr w:type="gramStart"/>
            <w:r>
              <w:rPr>
                <w:rStyle w:val="Lienhypertexte"/>
                <w:color w:val="000000" w:themeColor="text1"/>
                <w:sz w:val="16"/>
              </w:rPr>
              <w:t xml:space="preserve">un processus </w:t>
            </w:r>
            <w:r w:rsidR="00CE4AD8">
              <w:rPr>
                <w:rStyle w:val="Lienhypertexte"/>
                <w:color w:val="000000" w:themeColor="text1"/>
                <w:sz w:val="16"/>
              </w:rPr>
              <w:t>prédéfinis</w:t>
            </w:r>
            <w:proofErr w:type="gramEnd"/>
            <w:r>
              <w:rPr>
                <w:rStyle w:val="Lienhypertexte"/>
                <w:color w:val="000000" w:themeColor="text1"/>
                <w:sz w:val="16"/>
              </w:rPr>
              <w:t>, incluant la supervision et la responsabilité de mise en œuvre dudit processus.</w:t>
            </w:r>
          </w:p>
          <w:p w14:paraId="12B273F5" w14:textId="77777777" w:rsidR="003C53D7" w:rsidRPr="003058F5" w:rsidRDefault="003C53D7" w:rsidP="00457488">
            <w:pPr>
              <w:rPr>
                <w:rStyle w:val="Lienhypertexte"/>
                <w:color w:val="000000" w:themeColor="text1"/>
                <w:sz w:val="16"/>
                <w:szCs w:val="16"/>
              </w:rPr>
            </w:pPr>
          </w:p>
          <w:p w14:paraId="76B7C015" w14:textId="2EF69A03" w:rsidR="00457488" w:rsidRPr="003058F5" w:rsidRDefault="001552AC" w:rsidP="00457488">
            <w:pPr>
              <w:rPr>
                <w:rStyle w:val="Lienhypertexte"/>
                <w:color w:val="000000" w:themeColor="text1"/>
                <w:sz w:val="16"/>
                <w:szCs w:val="16"/>
              </w:rPr>
            </w:pPr>
            <w:r>
              <w:rPr>
                <w:rStyle w:val="Lienhypertexte"/>
                <w:color w:val="000000" w:themeColor="text1"/>
                <w:sz w:val="16"/>
              </w:rPr>
              <w:t>Aux fins de cet indicateur, l</w:t>
            </w:r>
            <w:proofErr w:type="gramStart"/>
            <w:r w:rsidR="00F61763">
              <w:rPr>
                <w:rStyle w:val="Lienhypertexte"/>
                <w:color w:val="000000" w:themeColor="text1"/>
                <w:sz w:val="16"/>
              </w:rPr>
              <w:t>’«</w:t>
            </w:r>
            <w:proofErr w:type="gramEnd"/>
            <w:r w:rsidR="00F61763">
              <w:rPr>
                <w:rStyle w:val="Lienhypertexte"/>
                <w:color w:val="000000" w:themeColor="text1"/>
                <w:sz w:val="16"/>
              </w:rPr>
              <w:t> </w:t>
            </w:r>
            <w:r>
              <w:rPr>
                <w:rStyle w:val="Lienhypertexte"/>
                <w:color w:val="000000" w:themeColor="text1"/>
                <w:sz w:val="16"/>
              </w:rPr>
              <w:t>évolution des tendances ESG</w:t>
            </w:r>
            <w:r w:rsidR="00FC3BD3">
              <w:rPr>
                <w:rStyle w:val="Lienhypertexte"/>
                <w:color w:val="000000" w:themeColor="text1"/>
                <w:sz w:val="16"/>
              </w:rPr>
              <w:t> »</w:t>
            </w:r>
            <w:r>
              <w:rPr>
                <w:rStyle w:val="Lienhypertexte"/>
                <w:color w:val="000000" w:themeColor="text1"/>
                <w:sz w:val="16"/>
              </w:rPr>
              <w:t xml:space="preserve"> désigne les changements dans la réglementation, le climat physique, la technologie et/ou les demandes des consommateurs.</w:t>
            </w:r>
          </w:p>
          <w:p w14:paraId="749C68EB" w14:textId="77777777" w:rsidR="003C53D7" w:rsidRPr="003058F5" w:rsidRDefault="003C53D7" w:rsidP="00457488">
            <w:pPr>
              <w:rPr>
                <w:rStyle w:val="Lienhypertexte"/>
                <w:color w:val="000000" w:themeColor="text1"/>
                <w:sz w:val="16"/>
                <w:szCs w:val="16"/>
              </w:rPr>
            </w:pPr>
          </w:p>
          <w:p w14:paraId="33990CD2" w14:textId="504EFB84" w:rsidR="00457488" w:rsidRPr="003058F5" w:rsidRDefault="00457488" w:rsidP="00457488">
            <w:pPr>
              <w:rPr>
                <w:rStyle w:val="Lienhypertexte"/>
                <w:color w:val="000000" w:themeColor="text1"/>
                <w:sz w:val="16"/>
                <w:szCs w:val="16"/>
              </w:rPr>
            </w:pPr>
            <w:r>
              <w:rPr>
                <w:rStyle w:val="Lienhypertexte"/>
                <w:color w:val="000000" w:themeColor="text1"/>
                <w:sz w:val="16"/>
              </w:rPr>
              <w:t xml:space="preserve">Aux fins de cet indicateur, </w:t>
            </w:r>
            <w:r w:rsidR="00F61763">
              <w:rPr>
                <w:rStyle w:val="Lienhypertexte"/>
                <w:color w:val="000000" w:themeColor="text1"/>
                <w:sz w:val="16"/>
              </w:rPr>
              <w:t>l</w:t>
            </w:r>
            <w:proofErr w:type="gramStart"/>
            <w:r w:rsidR="00F61763">
              <w:rPr>
                <w:rStyle w:val="Lienhypertexte"/>
                <w:color w:val="000000" w:themeColor="text1"/>
                <w:sz w:val="16"/>
              </w:rPr>
              <w:t>’«</w:t>
            </w:r>
            <w:proofErr w:type="gramEnd"/>
            <w:r w:rsidR="00FC3BD3">
              <w:rPr>
                <w:rStyle w:val="Lienhypertexte"/>
                <w:color w:val="000000" w:themeColor="text1"/>
                <w:sz w:val="16"/>
              </w:rPr>
              <w:t> </w:t>
            </w:r>
            <w:r>
              <w:rPr>
                <w:rStyle w:val="Lienhypertexte"/>
                <w:color w:val="000000" w:themeColor="text1"/>
                <w:sz w:val="16"/>
              </w:rPr>
              <w:t>analyse de scénarios</w:t>
            </w:r>
            <w:r w:rsidR="00FC3BD3">
              <w:rPr>
                <w:rStyle w:val="Lienhypertexte"/>
                <w:color w:val="000000" w:themeColor="text1"/>
                <w:sz w:val="16"/>
              </w:rPr>
              <w:t> »</w:t>
            </w:r>
            <w:r>
              <w:rPr>
                <w:rStyle w:val="Lienhypertexte"/>
                <w:color w:val="000000" w:themeColor="text1"/>
                <w:sz w:val="16"/>
              </w:rPr>
              <w:t xml:space="preserve"> ne se limite pas aux facteurs climatiques, mais inclut l'analyse d'autres critères ESG pertinents pour une décision d'investissement.</w:t>
            </w:r>
          </w:p>
        </w:tc>
      </w:tr>
      <w:tr w:rsidR="0083526D" w:rsidRPr="003058F5" w14:paraId="7A3D34EA" w14:textId="77777777" w:rsidTr="00BE0934">
        <w:trPr>
          <w:trHeight w:val="300"/>
        </w:trPr>
        <w:tc>
          <w:tcPr>
            <w:tcW w:w="1510" w:type="dxa"/>
            <w:shd w:val="clear" w:color="auto" w:fill="auto"/>
            <w:vAlign w:val="center"/>
          </w:tcPr>
          <w:p w14:paraId="0A638550" w14:textId="77777777" w:rsidR="0083526D" w:rsidRPr="003058F5" w:rsidRDefault="0083526D" w:rsidP="00A276C9">
            <w:pPr>
              <w:rPr>
                <w:b/>
                <w:bCs/>
                <w:sz w:val="16"/>
                <w:szCs w:val="16"/>
              </w:rPr>
            </w:pPr>
            <w:r>
              <w:rPr>
                <w:b/>
                <w:sz w:val="16"/>
              </w:rPr>
              <w:t>Autres ressources</w:t>
            </w:r>
          </w:p>
        </w:tc>
        <w:tc>
          <w:tcPr>
            <w:tcW w:w="13232" w:type="dxa"/>
            <w:gridSpan w:val="5"/>
            <w:shd w:val="clear" w:color="auto" w:fill="auto"/>
            <w:vAlign w:val="center"/>
          </w:tcPr>
          <w:p w14:paraId="26FE061C" w14:textId="41CC2E50" w:rsidR="0083526D" w:rsidRPr="003058F5" w:rsidRDefault="008F7EBA" w:rsidP="00A276C9">
            <w:pPr>
              <w:rPr>
                <w:rStyle w:val="Lienhypertexte"/>
                <w:color w:val="000000" w:themeColor="text1"/>
              </w:rPr>
            </w:pPr>
            <w:r>
              <w:rPr>
                <w:rStyle w:val="Lienhypertexte"/>
                <w:color w:val="000000" w:themeColor="text1"/>
                <w:sz w:val="16"/>
              </w:rPr>
              <w:t xml:space="preserve">Pour de plus amples informations, veuillez consulter le document des PRI intitulé </w:t>
            </w:r>
            <w:hyperlink r:id="rId34" w:history="1">
              <w:proofErr w:type="spellStart"/>
              <w:r>
                <w:rPr>
                  <w:rStyle w:val="Lienhypertexte"/>
                  <w:sz w:val="16"/>
                </w:rPr>
                <w:t>Technical</w:t>
              </w:r>
              <w:proofErr w:type="spellEnd"/>
              <w:r>
                <w:rPr>
                  <w:rStyle w:val="Lienhypertexte"/>
                  <w:sz w:val="16"/>
                </w:rPr>
                <w:t xml:space="preserve"> </w:t>
              </w:r>
              <w:proofErr w:type="spellStart"/>
              <w:r>
                <w:rPr>
                  <w:rStyle w:val="Lienhypertexte"/>
                  <w:sz w:val="16"/>
                </w:rPr>
                <w:t>guide:</w:t>
              </w:r>
            </w:hyperlink>
            <w:hyperlink r:id="rId35" w:history="1">
              <w:r>
                <w:rPr>
                  <w:rStyle w:val="Lienhypertexte"/>
                  <w:sz w:val="16"/>
                </w:rPr>
                <w:t>ESG</w:t>
              </w:r>
              <w:proofErr w:type="spellEnd"/>
              <w:r>
                <w:rPr>
                  <w:rStyle w:val="Lienhypertexte"/>
                  <w:sz w:val="16"/>
                </w:rPr>
                <w:t xml:space="preserve"> incorporation in </w:t>
              </w:r>
              <w:proofErr w:type="spellStart"/>
              <w:r>
                <w:rPr>
                  <w:rStyle w:val="Lienhypertexte"/>
                  <w:sz w:val="16"/>
                </w:rPr>
                <w:t>hedge</w:t>
              </w:r>
              <w:proofErr w:type="spellEnd"/>
              <w:r>
                <w:rPr>
                  <w:rStyle w:val="Lienhypertexte"/>
                  <w:sz w:val="16"/>
                </w:rPr>
                <w:t xml:space="preserve"> </w:t>
              </w:r>
              <w:proofErr w:type="spellStart"/>
              <w:r>
                <w:rPr>
                  <w:rStyle w:val="Lienhypertexte"/>
                  <w:sz w:val="16"/>
                </w:rPr>
                <w:t>funds</w:t>
              </w:r>
              <w:proofErr w:type="spellEnd"/>
              <w:r>
                <w:rPr>
                  <w:rStyle w:val="Lienhypertexte"/>
                  <w:sz w:val="16"/>
                </w:rPr>
                <w:t xml:space="preserve"> (Guide technique</w:t>
              </w:r>
              <w:r w:rsidR="00767929">
                <w:rPr>
                  <w:rStyle w:val="Lienhypertexte"/>
                  <w:sz w:val="16"/>
                </w:rPr>
                <w:t> :</w:t>
              </w:r>
              <w:r>
                <w:rPr>
                  <w:rStyle w:val="Lienhypertexte"/>
                  <w:sz w:val="16"/>
                </w:rPr>
                <w:t xml:space="preserve"> la prise en compte des critères ESG dans les fonds spéculatifs (</w:t>
              </w:r>
              <w:proofErr w:type="spellStart"/>
              <w:r>
                <w:rPr>
                  <w:rStyle w:val="Lienhypertexte"/>
                  <w:i/>
                  <w:iCs/>
                  <w:sz w:val="16"/>
                </w:rPr>
                <w:t>hedge</w:t>
              </w:r>
              <w:proofErr w:type="spellEnd"/>
              <w:r>
                <w:rPr>
                  <w:rStyle w:val="Lienhypertexte"/>
                  <w:i/>
                  <w:iCs/>
                  <w:sz w:val="16"/>
                </w:rPr>
                <w:t xml:space="preserve"> </w:t>
              </w:r>
              <w:proofErr w:type="spellStart"/>
              <w:r>
                <w:rPr>
                  <w:rStyle w:val="Lienhypertexte"/>
                  <w:i/>
                  <w:iCs/>
                  <w:sz w:val="16"/>
                </w:rPr>
                <w:t>funds</w:t>
              </w:r>
              <w:proofErr w:type="spellEnd"/>
              <w:r>
                <w:rPr>
                  <w:rStyle w:val="Lienhypertexte"/>
                  <w:sz w:val="16"/>
                </w:rPr>
                <w:t>))</w:t>
              </w:r>
            </w:hyperlink>
            <w:r>
              <w:rPr>
                <w:rStyle w:val="Lienhypertexte"/>
                <w:color w:val="auto"/>
                <w:sz w:val="16"/>
              </w:rPr>
              <w:t>,</w:t>
            </w:r>
            <w:r>
              <w:rPr>
                <w:rStyle w:val="Lienhypertexte"/>
                <w:color w:val="000000" w:themeColor="text1"/>
                <w:sz w:val="16"/>
              </w:rPr>
              <w:t xml:space="preserve"> qui fournit un cadre aux sociétés de gestion pour prendre en compte les critères ESG majeurs dans les stratégies relatives aux fonds spéculatifs.</w:t>
            </w:r>
          </w:p>
        </w:tc>
      </w:tr>
      <w:tr w:rsidR="0083526D" w:rsidRPr="003058F5" w14:paraId="10442FD1" w14:textId="77777777" w:rsidTr="00BE0934">
        <w:trPr>
          <w:trHeight w:val="300"/>
        </w:trPr>
        <w:tc>
          <w:tcPr>
            <w:tcW w:w="14742" w:type="dxa"/>
            <w:gridSpan w:val="6"/>
            <w:shd w:val="clear" w:color="auto" w:fill="0070C0"/>
            <w:vAlign w:val="center"/>
          </w:tcPr>
          <w:p w14:paraId="1923DF8F" w14:textId="77777777" w:rsidR="0083526D" w:rsidRPr="003058F5" w:rsidRDefault="0083526D" w:rsidP="00A276C9">
            <w:pPr>
              <w:rPr>
                <w:color w:val="FFFFFF" w:themeColor="background1"/>
                <w:sz w:val="16"/>
                <w:szCs w:val="16"/>
              </w:rPr>
            </w:pPr>
            <w:r>
              <w:rPr>
                <w:b/>
                <w:color w:val="FFFFFF" w:themeColor="background1"/>
                <w:sz w:val="18"/>
              </w:rPr>
              <w:t>Logique</w:t>
            </w:r>
          </w:p>
        </w:tc>
      </w:tr>
      <w:tr w:rsidR="00A966F3" w:rsidRPr="003058F5" w14:paraId="7B1DB88C" w14:textId="77777777" w:rsidTr="00BE0934">
        <w:trPr>
          <w:trHeight w:val="300"/>
        </w:trPr>
        <w:tc>
          <w:tcPr>
            <w:tcW w:w="1510" w:type="dxa"/>
            <w:shd w:val="clear" w:color="auto" w:fill="auto"/>
            <w:vAlign w:val="center"/>
          </w:tcPr>
          <w:p w14:paraId="22EB279D" w14:textId="77777777" w:rsidR="00A966F3" w:rsidRPr="003058F5" w:rsidRDefault="00A966F3" w:rsidP="00A966F3">
            <w:pPr>
              <w:rPr>
                <w:b/>
                <w:bCs/>
                <w:sz w:val="16"/>
                <w:szCs w:val="16"/>
              </w:rPr>
            </w:pPr>
            <w:r>
              <w:rPr>
                <w:b/>
                <w:sz w:val="16"/>
              </w:rPr>
              <w:t>Lien avec</w:t>
            </w:r>
          </w:p>
        </w:tc>
        <w:tc>
          <w:tcPr>
            <w:tcW w:w="13232" w:type="dxa"/>
            <w:gridSpan w:val="5"/>
            <w:shd w:val="clear" w:color="auto" w:fill="auto"/>
            <w:vAlign w:val="center"/>
          </w:tcPr>
          <w:p w14:paraId="325B7ED6" w14:textId="250347BF" w:rsidR="00A966F3" w:rsidRPr="003058F5" w:rsidRDefault="00BA61E4" w:rsidP="00A966F3">
            <w:pPr>
              <w:rPr>
                <w:color w:val="000000" w:themeColor="text1"/>
                <w:sz w:val="16"/>
                <w:szCs w:val="16"/>
              </w:rPr>
            </w:pPr>
            <w:r>
              <w:rPr>
                <w:color w:val="000000" w:themeColor="text1"/>
                <w:sz w:val="16"/>
              </w:rPr>
              <w:t>[OO 21]</w:t>
            </w:r>
          </w:p>
        </w:tc>
      </w:tr>
      <w:tr w:rsidR="0083526D" w:rsidRPr="003058F5" w14:paraId="7D091E3C" w14:textId="77777777" w:rsidTr="00BE0934">
        <w:trPr>
          <w:trHeight w:val="300"/>
        </w:trPr>
        <w:tc>
          <w:tcPr>
            <w:tcW w:w="1510" w:type="dxa"/>
            <w:shd w:val="clear" w:color="auto" w:fill="auto"/>
            <w:vAlign w:val="center"/>
          </w:tcPr>
          <w:p w14:paraId="3E3DC6C6" w14:textId="77777777" w:rsidR="0083526D" w:rsidRPr="003058F5" w:rsidRDefault="0083526D" w:rsidP="00A276C9">
            <w:pPr>
              <w:rPr>
                <w:b/>
                <w:bCs/>
                <w:sz w:val="16"/>
                <w:szCs w:val="16"/>
              </w:rPr>
            </w:pPr>
            <w:r>
              <w:rPr>
                <w:b/>
                <w:sz w:val="16"/>
              </w:rPr>
              <w:t>Accès à</w:t>
            </w:r>
          </w:p>
        </w:tc>
        <w:tc>
          <w:tcPr>
            <w:tcW w:w="13232" w:type="dxa"/>
            <w:gridSpan w:val="5"/>
            <w:shd w:val="clear" w:color="auto" w:fill="auto"/>
            <w:vAlign w:val="center"/>
          </w:tcPr>
          <w:p w14:paraId="62FF73C4" w14:textId="1458E40D" w:rsidR="0083526D" w:rsidRPr="003058F5" w:rsidRDefault="00E85A14" w:rsidP="00A276C9">
            <w:pPr>
              <w:rPr>
                <w:color w:val="000000" w:themeColor="text1"/>
                <w:sz w:val="16"/>
                <w:szCs w:val="16"/>
              </w:rPr>
            </w:pPr>
            <w:r>
              <w:rPr>
                <w:color w:val="000000" w:themeColor="text1"/>
                <w:sz w:val="16"/>
              </w:rPr>
              <w:t>Sans objet</w:t>
            </w:r>
          </w:p>
        </w:tc>
      </w:tr>
      <w:tr w:rsidR="0083526D" w:rsidRPr="003058F5" w14:paraId="7EFB6685" w14:textId="77777777" w:rsidTr="00BE0934">
        <w:trPr>
          <w:trHeight w:val="300"/>
        </w:trPr>
        <w:tc>
          <w:tcPr>
            <w:tcW w:w="14742" w:type="dxa"/>
            <w:gridSpan w:val="6"/>
            <w:shd w:val="clear" w:color="auto" w:fill="0070C0"/>
            <w:vAlign w:val="center"/>
          </w:tcPr>
          <w:p w14:paraId="61D9E38C" w14:textId="77777777" w:rsidR="0083526D" w:rsidRPr="003058F5" w:rsidRDefault="0083526D" w:rsidP="00A276C9">
            <w:pPr>
              <w:rPr>
                <w:rFonts w:eastAsia="Times New Roman" w:cs="Arial"/>
                <w:b/>
                <w:bCs/>
                <w:color w:val="FFFFFF" w:themeColor="background1"/>
                <w:sz w:val="18"/>
                <w:szCs w:val="18"/>
              </w:rPr>
            </w:pPr>
            <w:r>
              <w:rPr>
                <w:b/>
                <w:color w:val="FFFFFF" w:themeColor="background1"/>
                <w:sz w:val="18"/>
              </w:rPr>
              <w:t>Évaluation</w:t>
            </w:r>
          </w:p>
        </w:tc>
      </w:tr>
      <w:tr w:rsidR="00F00837" w:rsidRPr="003058F5" w14:paraId="4BF8F0A3" w14:textId="77777777" w:rsidTr="00BE0934">
        <w:trPr>
          <w:trHeight w:val="20"/>
        </w:trPr>
        <w:tc>
          <w:tcPr>
            <w:tcW w:w="1517" w:type="dxa"/>
            <w:gridSpan w:val="2"/>
            <w:shd w:val="clear" w:color="auto" w:fill="auto"/>
            <w:vAlign w:val="center"/>
          </w:tcPr>
          <w:p w14:paraId="542258C3" w14:textId="20725D67" w:rsidR="00144253" w:rsidRPr="003058F5" w:rsidRDefault="00144253" w:rsidP="00845C19">
            <w:pPr>
              <w:rPr>
                <w:b/>
                <w:sz w:val="16"/>
                <w:szCs w:val="16"/>
              </w:rPr>
            </w:pPr>
            <w:r>
              <w:rPr>
                <w:b/>
                <w:sz w:val="16"/>
              </w:rPr>
              <w:t>Critères d'évaluation</w:t>
            </w:r>
          </w:p>
        </w:tc>
        <w:tc>
          <w:tcPr>
            <w:tcW w:w="13225" w:type="dxa"/>
            <w:gridSpan w:val="4"/>
            <w:shd w:val="clear" w:color="auto" w:fill="auto"/>
            <w:vAlign w:val="center"/>
          </w:tcPr>
          <w:p w14:paraId="44B41791" w14:textId="09E42EA7" w:rsidR="00144253" w:rsidRPr="003058F5" w:rsidRDefault="00144253" w:rsidP="00845C19">
            <w:pPr>
              <w:rPr>
                <w:rStyle w:val="Lienhypertexte"/>
                <w:color w:val="auto"/>
              </w:rPr>
            </w:pPr>
            <w:r>
              <w:rPr>
                <w:sz w:val="16"/>
              </w:rPr>
              <w:t>Les 100 points de cet indicateur sont répartis entre les options désignées par une lettre (50 points) et celles relatives au périmètre couvert (50 points). La note finale sera uniquement fondée sur la meilleure combinaison d’options désignées par une lettre et relatives au périmètre couvert. </w:t>
            </w:r>
          </w:p>
        </w:tc>
      </w:tr>
      <w:tr w:rsidR="00116AE8" w:rsidRPr="003058F5" w14:paraId="0C0DDB74" w14:textId="77777777" w:rsidTr="00BE0934">
        <w:trPr>
          <w:trHeight w:val="750"/>
        </w:trPr>
        <w:tc>
          <w:tcPr>
            <w:tcW w:w="1517" w:type="dxa"/>
            <w:gridSpan w:val="2"/>
            <w:shd w:val="clear" w:color="auto" w:fill="auto"/>
            <w:vAlign w:val="center"/>
          </w:tcPr>
          <w:p w14:paraId="28348AB0" w14:textId="77777777" w:rsidR="00144253" w:rsidRPr="003058F5" w:rsidRDefault="00144253" w:rsidP="00845C19">
            <w:pPr>
              <w:rPr>
                <w:b/>
                <w:sz w:val="16"/>
                <w:szCs w:val="16"/>
              </w:rPr>
            </w:pPr>
          </w:p>
        </w:tc>
        <w:tc>
          <w:tcPr>
            <w:tcW w:w="3909" w:type="dxa"/>
            <w:shd w:val="clear" w:color="auto" w:fill="auto"/>
            <w:vAlign w:val="center"/>
          </w:tcPr>
          <w:p w14:paraId="02B943E1" w14:textId="51199B10" w:rsidR="00144253" w:rsidRPr="003058F5" w:rsidRDefault="00144253" w:rsidP="00845C19">
            <w:pPr>
              <w:spacing w:before="100" w:beforeAutospacing="1" w:after="100" w:afterAutospacing="1" w:line="240" w:lineRule="auto"/>
              <w:textAlignment w:val="baseline"/>
              <w:rPr>
                <w:rStyle w:val="Lienhypertexte"/>
                <w:rFonts w:ascii="Times New Roman" w:eastAsia="Times New Roman" w:hAnsi="Times New Roman"/>
                <w:color w:val="auto"/>
                <w:sz w:val="24"/>
                <w:szCs w:val="24"/>
              </w:rPr>
            </w:pPr>
            <w:r>
              <w:rPr>
                <w:sz w:val="16"/>
              </w:rPr>
              <w:t>50 points pour les options désignées par une lettre</w:t>
            </w:r>
            <w:r w:rsidR="00767929">
              <w:rPr>
                <w:sz w:val="16"/>
              </w:rPr>
              <w:t> :</w:t>
            </w:r>
          </w:p>
          <w:p w14:paraId="186DBC39" w14:textId="77777777" w:rsidR="00144253" w:rsidRPr="003058F5" w:rsidRDefault="00144253" w:rsidP="00845C19">
            <w:pPr>
              <w:rPr>
                <w:rStyle w:val="Lienhypertexte"/>
                <w:color w:val="auto"/>
                <w:sz w:val="16"/>
                <w:szCs w:val="16"/>
              </w:rPr>
            </w:pPr>
            <w:r>
              <w:rPr>
                <w:rStyle w:val="Lienhypertexte"/>
                <w:color w:val="auto"/>
                <w:sz w:val="16"/>
              </w:rPr>
              <w:t>50 points pour l’option A.</w:t>
            </w:r>
          </w:p>
          <w:p w14:paraId="44DA9400" w14:textId="77777777" w:rsidR="00144253" w:rsidRPr="003058F5" w:rsidRDefault="00144253" w:rsidP="00845C19">
            <w:pPr>
              <w:rPr>
                <w:rStyle w:val="Lienhypertexte"/>
                <w:color w:val="auto"/>
                <w:sz w:val="16"/>
                <w:szCs w:val="16"/>
              </w:rPr>
            </w:pPr>
            <w:r>
              <w:rPr>
                <w:rStyle w:val="Lienhypertexte"/>
                <w:color w:val="auto"/>
                <w:sz w:val="16"/>
              </w:rPr>
              <w:t>33 points pour l’option B.</w:t>
            </w:r>
          </w:p>
          <w:p w14:paraId="106CA4D0" w14:textId="11DE6A61" w:rsidR="004232C1" w:rsidRPr="003058F5" w:rsidRDefault="004232C1" w:rsidP="00845C19">
            <w:pPr>
              <w:rPr>
                <w:rStyle w:val="Lienhypertexte"/>
                <w:color w:val="auto"/>
                <w:sz w:val="16"/>
                <w:szCs w:val="16"/>
              </w:rPr>
            </w:pPr>
            <w:r>
              <w:rPr>
                <w:rStyle w:val="Lienhypertexte"/>
                <w:color w:val="auto"/>
                <w:sz w:val="16"/>
              </w:rPr>
              <w:t>0 point pour les options C et D.</w:t>
            </w:r>
          </w:p>
        </w:tc>
        <w:tc>
          <w:tcPr>
            <w:tcW w:w="515" w:type="dxa"/>
            <w:shd w:val="clear" w:color="auto" w:fill="auto"/>
            <w:vAlign w:val="center"/>
          </w:tcPr>
          <w:p w14:paraId="32FB66C0" w14:textId="77777777" w:rsidR="00144253" w:rsidRPr="003058F5" w:rsidRDefault="00144253" w:rsidP="00845C19">
            <w:pPr>
              <w:rPr>
                <w:rStyle w:val="Lienhypertexte"/>
                <w:b/>
                <w:bCs/>
                <w:color w:val="auto"/>
                <w:sz w:val="16"/>
                <w:szCs w:val="16"/>
              </w:rPr>
            </w:pPr>
            <w:r>
              <w:rPr>
                <w:rStyle w:val="Lienhypertexte"/>
                <w:b/>
                <w:color w:val="auto"/>
                <w:sz w:val="16"/>
              </w:rPr>
              <w:t>ET</w:t>
            </w:r>
          </w:p>
        </w:tc>
        <w:tc>
          <w:tcPr>
            <w:tcW w:w="5968" w:type="dxa"/>
            <w:shd w:val="clear" w:color="auto" w:fill="auto"/>
            <w:vAlign w:val="center"/>
          </w:tcPr>
          <w:p w14:paraId="71A1AD83" w14:textId="5E5E9325" w:rsidR="00144253" w:rsidRPr="003058F5" w:rsidRDefault="00144253" w:rsidP="00845C19">
            <w:pPr>
              <w:spacing w:before="100" w:beforeAutospacing="1" w:after="100" w:afterAutospacing="1" w:line="240" w:lineRule="auto"/>
              <w:textAlignment w:val="baseline"/>
              <w:rPr>
                <w:rFonts w:ascii="Times New Roman" w:eastAsia="Times New Roman" w:hAnsi="Times New Roman"/>
                <w:sz w:val="24"/>
                <w:szCs w:val="24"/>
              </w:rPr>
            </w:pPr>
            <w:r>
              <w:rPr>
                <w:sz w:val="16"/>
              </w:rPr>
              <w:t>50 points pour le périmètre couvert</w:t>
            </w:r>
            <w:r w:rsidR="00767929">
              <w:rPr>
                <w:sz w:val="16"/>
              </w:rPr>
              <w:t> :</w:t>
            </w:r>
            <w:r>
              <w:rPr>
                <w:sz w:val="16"/>
              </w:rPr>
              <w:t> </w:t>
            </w:r>
          </w:p>
          <w:p w14:paraId="628A6BA8" w14:textId="328EA772" w:rsidR="00144253" w:rsidRPr="003058F5" w:rsidRDefault="00144253" w:rsidP="00845C19">
            <w:pPr>
              <w:spacing w:line="240" w:lineRule="auto"/>
              <w:textAlignment w:val="baseline"/>
              <w:rPr>
                <w:rFonts w:ascii="Times New Roman" w:eastAsia="Times New Roman" w:hAnsi="Times New Roman"/>
                <w:sz w:val="24"/>
                <w:szCs w:val="24"/>
              </w:rPr>
            </w:pPr>
            <w:r>
              <w:rPr>
                <w:sz w:val="16"/>
              </w:rPr>
              <w:t>50 points pour toutes les options (1) cochées.</w:t>
            </w:r>
          </w:p>
          <w:p w14:paraId="7350E99D" w14:textId="1CA3B713" w:rsidR="00144253" w:rsidRPr="003058F5" w:rsidRDefault="00144253" w:rsidP="00845C19">
            <w:pPr>
              <w:spacing w:line="240" w:lineRule="auto"/>
              <w:textAlignment w:val="baseline"/>
              <w:rPr>
                <w:rFonts w:ascii="Times New Roman" w:eastAsia="Times New Roman" w:hAnsi="Times New Roman"/>
                <w:sz w:val="24"/>
                <w:szCs w:val="24"/>
              </w:rPr>
            </w:pPr>
            <w:r>
              <w:rPr>
                <w:sz w:val="16"/>
              </w:rPr>
              <w:t>25 points pour la majorité d’options (2) cochées.</w:t>
            </w:r>
          </w:p>
          <w:p w14:paraId="021F2739" w14:textId="4FB31158" w:rsidR="00144253" w:rsidRPr="003058F5" w:rsidRDefault="00144253" w:rsidP="00845C19">
            <w:pPr>
              <w:spacing w:line="240" w:lineRule="auto"/>
              <w:textAlignment w:val="baseline"/>
              <w:rPr>
                <w:rStyle w:val="Lienhypertexte"/>
                <w:rFonts w:ascii="Times New Roman" w:eastAsia="Times New Roman" w:hAnsi="Times New Roman"/>
                <w:color w:val="auto"/>
                <w:sz w:val="24"/>
                <w:szCs w:val="24"/>
              </w:rPr>
            </w:pPr>
            <w:r>
              <w:rPr>
                <w:sz w:val="16"/>
              </w:rPr>
              <w:t>12 points pour une minorité d’options (3) cochées.</w:t>
            </w:r>
          </w:p>
        </w:tc>
        <w:tc>
          <w:tcPr>
            <w:tcW w:w="2833" w:type="dxa"/>
            <w:shd w:val="clear" w:color="auto" w:fill="auto"/>
            <w:vAlign w:val="center"/>
          </w:tcPr>
          <w:p w14:paraId="44B9B97F" w14:textId="6D3FE694" w:rsidR="00B9576F" w:rsidRPr="003058F5" w:rsidRDefault="00B9576F" w:rsidP="00B9576F">
            <w:pPr>
              <w:rPr>
                <w:rStyle w:val="Lienhypertexte"/>
                <w:color w:val="auto"/>
                <w:sz w:val="16"/>
                <w:szCs w:val="16"/>
              </w:rPr>
            </w:pPr>
            <w:r>
              <w:rPr>
                <w:rStyle w:val="Lienhypertexte"/>
                <w:color w:val="auto"/>
                <w:sz w:val="16"/>
              </w:rPr>
              <w:t>Autres informations</w:t>
            </w:r>
            <w:r w:rsidR="00767929">
              <w:rPr>
                <w:rStyle w:val="Lienhypertexte"/>
                <w:color w:val="auto"/>
                <w:sz w:val="16"/>
              </w:rPr>
              <w:t> :</w:t>
            </w:r>
          </w:p>
          <w:p w14:paraId="240E1062" w14:textId="77777777" w:rsidR="00B9576F" w:rsidRPr="003058F5" w:rsidRDefault="00B9576F" w:rsidP="00B9576F">
            <w:pPr>
              <w:rPr>
                <w:rStyle w:val="Lienhypertexte"/>
                <w:color w:val="auto"/>
                <w:sz w:val="16"/>
                <w:szCs w:val="16"/>
              </w:rPr>
            </w:pPr>
          </w:p>
          <w:p w14:paraId="5A0C9B18" w14:textId="6E68C1E2" w:rsidR="00144253" w:rsidRPr="003058F5" w:rsidRDefault="00386F8F" w:rsidP="00845C19">
            <w:pPr>
              <w:rPr>
                <w:rFonts w:cs="Arial"/>
                <w:sz w:val="16"/>
                <w:szCs w:val="16"/>
              </w:rPr>
            </w:pPr>
            <w:r>
              <w:rPr>
                <w:sz w:val="16"/>
              </w:rPr>
              <w:t xml:space="preserve">Si vous sélectionnez </w:t>
            </w:r>
            <w:r w:rsidR="00FC3BD3">
              <w:rPr>
                <w:sz w:val="16"/>
              </w:rPr>
              <w:t>« </w:t>
            </w:r>
            <w:r>
              <w:rPr>
                <w:sz w:val="16"/>
              </w:rPr>
              <w:t>C</w:t>
            </w:r>
            <w:r w:rsidR="00FC3BD3">
              <w:rPr>
                <w:sz w:val="16"/>
              </w:rPr>
              <w:t> »</w:t>
            </w:r>
            <w:r>
              <w:rPr>
                <w:sz w:val="16"/>
              </w:rPr>
              <w:t xml:space="preserve"> ou </w:t>
            </w:r>
            <w:r w:rsidR="00FC3BD3">
              <w:rPr>
                <w:sz w:val="16"/>
              </w:rPr>
              <w:t>« </w:t>
            </w:r>
            <w:r>
              <w:rPr>
                <w:sz w:val="16"/>
              </w:rPr>
              <w:t>D</w:t>
            </w:r>
            <w:r w:rsidR="00FC3BD3">
              <w:rPr>
                <w:sz w:val="16"/>
              </w:rPr>
              <w:t> »</w:t>
            </w:r>
            <w:r>
              <w:rPr>
                <w:sz w:val="16"/>
              </w:rPr>
              <w:t>, vous obtiendrez une note de 0/100 points pour cet indicateur.</w:t>
            </w:r>
          </w:p>
          <w:p w14:paraId="2EC70E95" w14:textId="77777777" w:rsidR="00B9576F" w:rsidRPr="003058F5" w:rsidRDefault="00B9576F" w:rsidP="00845C19">
            <w:pPr>
              <w:rPr>
                <w:rFonts w:cs="Arial"/>
                <w:sz w:val="16"/>
                <w:szCs w:val="16"/>
              </w:rPr>
            </w:pPr>
          </w:p>
          <w:p w14:paraId="30A6DA34" w14:textId="42621657" w:rsidR="00144253" w:rsidRPr="003058F5" w:rsidRDefault="00B37298" w:rsidP="00845C19">
            <w:pPr>
              <w:rPr>
                <w:color w:val="000000" w:themeColor="text1"/>
                <w:sz w:val="16"/>
                <w:szCs w:val="16"/>
              </w:rPr>
            </w:pPr>
            <w:r>
              <w:rPr>
                <w:color w:val="000000" w:themeColor="text1"/>
                <w:sz w:val="16"/>
              </w:rPr>
              <w:t>Le nombre de types de stratégies applicables n'affectera pas les points disponibles pour cet indicateur, car chaque stratégie recevra une note distincte.</w:t>
            </w:r>
          </w:p>
        </w:tc>
      </w:tr>
      <w:tr w:rsidR="00144253" w:rsidRPr="003058F5" w14:paraId="721D4206" w14:textId="77777777" w:rsidTr="00BE0934">
        <w:trPr>
          <w:trHeight w:val="300"/>
        </w:trPr>
        <w:tc>
          <w:tcPr>
            <w:tcW w:w="1517" w:type="dxa"/>
            <w:gridSpan w:val="2"/>
            <w:shd w:val="clear" w:color="auto" w:fill="auto"/>
            <w:vAlign w:val="center"/>
          </w:tcPr>
          <w:p w14:paraId="0AA8AD76" w14:textId="77777777" w:rsidR="00144253" w:rsidRPr="003058F5" w:rsidDel="002635ED" w:rsidRDefault="00144253" w:rsidP="00845C19">
            <w:pPr>
              <w:spacing w:line="240" w:lineRule="auto"/>
              <w:rPr>
                <w:b/>
                <w:bCs/>
                <w:sz w:val="16"/>
                <w:szCs w:val="16"/>
              </w:rPr>
            </w:pPr>
            <w:r>
              <w:rPr>
                <w:b/>
                <w:sz w:val="16"/>
              </w:rPr>
              <w:lastRenderedPageBreak/>
              <w:t>Multiplicateur</w:t>
            </w:r>
          </w:p>
        </w:tc>
        <w:tc>
          <w:tcPr>
            <w:tcW w:w="13225" w:type="dxa"/>
            <w:gridSpan w:val="4"/>
            <w:shd w:val="clear" w:color="auto" w:fill="auto"/>
            <w:vAlign w:val="center"/>
          </w:tcPr>
          <w:p w14:paraId="041343D0" w14:textId="1A08D377" w:rsidR="00144253" w:rsidRPr="003058F5" w:rsidRDefault="0060497C" w:rsidP="00845C19">
            <w:pPr>
              <w:rPr>
                <w:rStyle w:val="Lienhypertexte"/>
                <w:color w:val="000000" w:themeColor="text1"/>
              </w:rPr>
            </w:pPr>
            <w:r>
              <w:rPr>
                <w:rStyle w:val="Lienhypertexte"/>
                <w:color w:val="000000" w:themeColor="text1"/>
                <w:sz w:val="16"/>
              </w:rPr>
              <w:t xml:space="preserve">Le multiplicateur sera confirmé avant le cycle de </w:t>
            </w:r>
            <w:proofErr w:type="spellStart"/>
            <w:r>
              <w:rPr>
                <w:rStyle w:val="Lienhypertexte"/>
                <w:color w:val="000000" w:themeColor="text1"/>
                <w:sz w:val="16"/>
              </w:rPr>
              <w:t>reporting</w:t>
            </w:r>
            <w:proofErr w:type="spellEnd"/>
            <w:r>
              <w:rPr>
                <w:rStyle w:val="Lienhypertexte"/>
                <w:color w:val="000000" w:themeColor="text1"/>
                <w:sz w:val="16"/>
              </w:rPr>
              <w:t xml:space="preserve"> 2023 qui débutera à la mi-mai. </w:t>
            </w:r>
          </w:p>
        </w:tc>
      </w:tr>
    </w:tbl>
    <w:p w14:paraId="4E6CF8E4" w14:textId="77777777" w:rsidR="00A62805" w:rsidRPr="003058F5" w:rsidRDefault="00A62805">
      <w:pPr>
        <w:spacing w:after="160" w:line="259" w:lineRule="auto"/>
        <w:rPr>
          <w:rFonts w:eastAsiaTheme="majorEastAsia" w:cstheme="majorBidi"/>
          <w:b/>
          <w:caps/>
          <w:color w:val="00B0F0"/>
          <w:sz w:val="28"/>
          <w:szCs w:val="26"/>
        </w:rPr>
      </w:pPr>
      <w:r>
        <w:br w:type="page"/>
      </w:r>
    </w:p>
    <w:p w14:paraId="20A0DE2D" w14:textId="7684C902" w:rsidR="00AD5813" w:rsidRPr="003058F5" w:rsidRDefault="001869DE" w:rsidP="00F15919">
      <w:pPr>
        <w:pStyle w:val="Titre1"/>
      </w:pPr>
      <w:bookmarkStart w:id="14" w:name="_Toc128064106"/>
      <w:r>
        <w:lastRenderedPageBreak/>
        <w:t>pr</w:t>
      </w:r>
      <w:r w:rsidR="004B4572">
        <w:t>é</w:t>
      </w:r>
      <w:r>
        <w:t>-</w:t>
      </w:r>
      <w:r w:rsidR="00671D93">
        <w:t>investissement</w:t>
      </w:r>
      <w:bookmarkEnd w:id="14"/>
    </w:p>
    <w:p w14:paraId="58393061" w14:textId="6B18E208" w:rsidR="005C4599" w:rsidRPr="003058F5" w:rsidRDefault="005C4599" w:rsidP="005C4599">
      <w:pPr>
        <w:pStyle w:val="Titre2"/>
        <w:tabs>
          <w:tab w:val="left" w:pos="12758"/>
        </w:tabs>
        <w:rPr>
          <w:rFonts w:eastAsia="MS PGothic" w:cs="Times New Roman"/>
          <w:caps w:val="0"/>
          <w:color w:val="auto"/>
          <w:sz w:val="20"/>
          <w:szCs w:val="20"/>
        </w:rPr>
      </w:pPr>
      <w:bookmarkStart w:id="15" w:name="_Toc128064107"/>
      <w:r>
        <w:t>Prise en compte des critères ESG dans la recherche [HF 4, HF 5]</w:t>
      </w:r>
      <w:bookmarkEnd w:id="15"/>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Layout w:type="fixed"/>
        <w:tblCellMar>
          <w:top w:w="57" w:type="dxa"/>
          <w:left w:w="113" w:type="dxa"/>
          <w:bottom w:w="57" w:type="dxa"/>
          <w:right w:w="113" w:type="dxa"/>
        </w:tblCellMar>
        <w:tblLook w:val="04A0" w:firstRow="1" w:lastRow="0" w:firstColumn="1" w:lastColumn="0" w:noHBand="0" w:noVBand="1"/>
      </w:tblPr>
      <w:tblGrid>
        <w:gridCol w:w="1792"/>
        <w:gridCol w:w="42"/>
        <w:gridCol w:w="1440"/>
        <w:gridCol w:w="63"/>
        <w:gridCol w:w="1221"/>
        <w:gridCol w:w="1096"/>
        <w:gridCol w:w="190"/>
        <w:gridCol w:w="471"/>
        <w:gridCol w:w="48"/>
        <w:gridCol w:w="769"/>
        <w:gridCol w:w="1294"/>
        <w:gridCol w:w="1285"/>
        <w:gridCol w:w="903"/>
        <w:gridCol w:w="324"/>
        <w:gridCol w:w="60"/>
        <w:gridCol w:w="1284"/>
        <w:gridCol w:w="615"/>
        <w:gridCol w:w="671"/>
        <w:gridCol w:w="1259"/>
        <w:gridCol w:w="33"/>
        <w:gridCol w:w="8"/>
        <w:gridCol w:w="16"/>
      </w:tblGrid>
      <w:tr w:rsidR="007218D8" w:rsidRPr="003058F5" w14:paraId="2516C008" w14:textId="77777777" w:rsidTr="00A966F3">
        <w:trPr>
          <w:gridAfter w:val="1"/>
          <w:wAfter w:w="8" w:type="dxa"/>
          <w:trHeight w:val="367"/>
        </w:trPr>
        <w:tc>
          <w:tcPr>
            <w:tcW w:w="1793" w:type="dxa"/>
            <w:vMerge w:val="restart"/>
            <w:shd w:val="clear" w:color="auto" w:fill="DFF5F9"/>
            <w:vAlign w:val="center"/>
            <w:hideMark/>
          </w:tcPr>
          <w:p w14:paraId="2501DA33" w14:textId="77777777" w:rsidR="005C4599" w:rsidRPr="003058F5" w:rsidRDefault="005C4599" w:rsidP="00016ECB">
            <w:pPr>
              <w:spacing w:line="240" w:lineRule="auto"/>
              <w:jc w:val="center"/>
              <w:textAlignment w:val="baseline"/>
              <w:rPr>
                <w:rFonts w:eastAsia="Times New Roman" w:cs="Arial"/>
                <w:b/>
                <w:sz w:val="14"/>
                <w:szCs w:val="14"/>
              </w:rPr>
            </w:pPr>
            <w:r>
              <w:rPr>
                <w:b/>
                <w:sz w:val="14"/>
              </w:rPr>
              <w:t>Identifiant de l’indicateur</w:t>
            </w:r>
          </w:p>
          <w:p w14:paraId="531C8BA7" w14:textId="77777777" w:rsidR="005C4599" w:rsidRPr="003058F5" w:rsidRDefault="005C4599" w:rsidP="00016ECB">
            <w:pPr>
              <w:spacing w:line="240" w:lineRule="auto"/>
              <w:jc w:val="center"/>
              <w:textAlignment w:val="baseline"/>
              <w:rPr>
                <w:rFonts w:eastAsia="Times New Roman" w:cs="Arial"/>
                <w:b/>
                <w:sz w:val="14"/>
                <w:szCs w:val="14"/>
                <w:lang w:eastAsia="en-GB"/>
              </w:rPr>
            </w:pPr>
          </w:p>
          <w:p w14:paraId="09265732" w14:textId="5ADF3CCC" w:rsidR="005C4599" w:rsidRPr="003058F5" w:rsidRDefault="005C4599" w:rsidP="00016ECB">
            <w:pPr>
              <w:pStyle w:val="Indicatorsubsection"/>
              <w:rPr>
                <w:sz w:val="18"/>
                <w:szCs w:val="18"/>
              </w:rPr>
            </w:pPr>
            <w:bookmarkStart w:id="16" w:name="_Toc128064108"/>
            <w:r>
              <w:t>HF 4</w:t>
            </w:r>
            <w:bookmarkEnd w:id="16"/>
          </w:p>
        </w:tc>
        <w:tc>
          <w:tcPr>
            <w:tcW w:w="1546" w:type="dxa"/>
            <w:gridSpan w:val="3"/>
            <w:shd w:val="clear" w:color="auto" w:fill="DFF5F9"/>
            <w:vAlign w:val="center"/>
            <w:hideMark/>
          </w:tcPr>
          <w:p w14:paraId="1EEBBE42" w14:textId="6FB3D39F" w:rsidR="005C4599" w:rsidRPr="003058F5" w:rsidRDefault="00F61763" w:rsidP="00016ECB">
            <w:pPr>
              <w:spacing w:line="240" w:lineRule="auto"/>
              <w:textAlignment w:val="baseline"/>
              <w:rPr>
                <w:rFonts w:eastAsia="Times New Roman" w:cs="Arial"/>
                <w:sz w:val="14"/>
                <w:szCs w:val="14"/>
              </w:rPr>
            </w:pPr>
            <w:r>
              <w:rPr>
                <w:b/>
                <w:sz w:val="14"/>
              </w:rPr>
              <w:t xml:space="preserve">Lien avec : </w:t>
            </w:r>
          </w:p>
        </w:tc>
        <w:tc>
          <w:tcPr>
            <w:tcW w:w="2980" w:type="dxa"/>
            <w:gridSpan w:val="4"/>
            <w:shd w:val="clear" w:color="auto" w:fill="DFF5F9"/>
            <w:vAlign w:val="center"/>
          </w:tcPr>
          <w:p w14:paraId="54EE9A14" w14:textId="5FA53FF7" w:rsidR="005C4599" w:rsidRPr="003058F5" w:rsidRDefault="00BA61E4" w:rsidP="00016ECB">
            <w:pPr>
              <w:spacing w:line="240" w:lineRule="auto"/>
              <w:textAlignment w:val="baseline"/>
              <w:rPr>
                <w:rFonts w:eastAsia="Times New Roman" w:cs="Arial"/>
                <w:sz w:val="14"/>
                <w:szCs w:val="14"/>
              </w:rPr>
            </w:pPr>
            <w:r>
              <w:rPr>
                <w:b/>
                <w:sz w:val="22"/>
              </w:rPr>
              <w:t>OO 21</w:t>
            </w:r>
          </w:p>
        </w:tc>
        <w:tc>
          <w:tcPr>
            <w:tcW w:w="4625" w:type="dxa"/>
            <w:gridSpan w:val="6"/>
            <w:vMerge w:val="restart"/>
            <w:shd w:val="clear" w:color="auto" w:fill="DFF5F9"/>
            <w:vAlign w:val="center"/>
          </w:tcPr>
          <w:p w14:paraId="6099E2A1" w14:textId="77777777" w:rsidR="005C4599" w:rsidRPr="003058F5" w:rsidRDefault="005C4599" w:rsidP="00016ECB">
            <w:pPr>
              <w:spacing w:line="240" w:lineRule="auto"/>
              <w:jc w:val="center"/>
              <w:textAlignment w:val="baseline"/>
              <w:rPr>
                <w:rFonts w:eastAsia="Times New Roman" w:cs="Arial"/>
                <w:sz w:val="14"/>
                <w:szCs w:val="14"/>
              </w:rPr>
            </w:pPr>
            <w:r>
              <w:rPr>
                <w:b/>
                <w:sz w:val="14"/>
              </w:rPr>
              <w:t>Sous-section</w:t>
            </w:r>
            <w:r>
              <w:rPr>
                <w:sz w:val="14"/>
              </w:rPr>
              <w:t> </w:t>
            </w:r>
          </w:p>
          <w:p w14:paraId="0A9833E0" w14:textId="77777777" w:rsidR="005C4599" w:rsidRPr="003058F5" w:rsidRDefault="005C4599" w:rsidP="00016ECB">
            <w:pPr>
              <w:spacing w:line="240" w:lineRule="auto"/>
              <w:jc w:val="center"/>
              <w:textAlignment w:val="baseline"/>
              <w:rPr>
                <w:rFonts w:eastAsia="Times New Roman" w:cs="Arial"/>
                <w:sz w:val="14"/>
                <w:szCs w:val="14"/>
                <w:lang w:eastAsia="en-GB"/>
              </w:rPr>
            </w:pPr>
          </w:p>
          <w:p w14:paraId="0C0AD5BF" w14:textId="68CB5A39" w:rsidR="005C4599" w:rsidRPr="003058F5" w:rsidRDefault="005C4599" w:rsidP="00016ECB">
            <w:pPr>
              <w:jc w:val="center"/>
              <w:rPr>
                <w:sz w:val="18"/>
                <w:szCs w:val="18"/>
              </w:rPr>
            </w:pPr>
            <w:r>
              <w:rPr>
                <w:b/>
                <w:sz w:val="22"/>
              </w:rPr>
              <w:t>Prise en compte des critères ESG dans la recherche</w:t>
            </w:r>
          </w:p>
        </w:tc>
        <w:tc>
          <w:tcPr>
            <w:tcW w:w="1960" w:type="dxa"/>
            <w:gridSpan w:val="3"/>
            <w:vMerge w:val="restart"/>
            <w:shd w:val="clear" w:color="auto" w:fill="DFF5F9"/>
            <w:vAlign w:val="center"/>
            <w:hideMark/>
          </w:tcPr>
          <w:p w14:paraId="16B6AACD" w14:textId="77777777" w:rsidR="005C4599" w:rsidRPr="003058F5" w:rsidRDefault="005C4599" w:rsidP="00016ECB">
            <w:pPr>
              <w:spacing w:line="240" w:lineRule="auto"/>
              <w:jc w:val="center"/>
              <w:textAlignment w:val="baseline"/>
              <w:rPr>
                <w:rFonts w:eastAsia="Times New Roman" w:cs="Arial"/>
                <w:b/>
                <w:bCs/>
                <w:sz w:val="14"/>
                <w:szCs w:val="14"/>
              </w:rPr>
            </w:pPr>
            <w:r>
              <w:rPr>
                <w:b/>
                <w:sz w:val="14"/>
              </w:rPr>
              <w:t>Principe des PRI</w:t>
            </w:r>
          </w:p>
          <w:p w14:paraId="78C3269A" w14:textId="77777777" w:rsidR="005C4599" w:rsidRPr="003058F5" w:rsidRDefault="005C4599" w:rsidP="00016ECB">
            <w:pPr>
              <w:spacing w:line="240" w:lineRule="auto"/>
              <w:jc w:val="center"/>
              <w:textAlignment w:val="baseline"/>
              <w:rPr>
                <w:rFonts w:eastAsia="Times New Roman" w:cs="Arial"/>
                <w:b/>
                <w:bCs/>
                <w:sz w:val="14"/>
                <w:szCs w:val="14"/>
                <w:lang w:eastAsia="en-GB"/>
              </w:rPr>
            </w:pPr>
          </w:p>
          <w:p w14:paraId="71ACE19F" w14:textId="036C5528" w:rsidR="005C4599" w:rsidRPr="003058F5" w:rsidRDefault="005C4599" w:rsidP="00016ECB">
            <w:pPr>
              <w:spacing w:line="240" w:lineRule="auto"/>
              <w:jc w:val="center"/>
              <w:textAlignment w:val="baseline"/>
              <w:rPr>
                <w:rFonts w:eastAsia="Times New Roman" w:cs="Arial"/>
                <w:sz w:val="18"/>
                <w:szCs w:val="18"/>
              </w:rPr>
            </w:pPr>
            <w:r>
              <w:rPr>
                <w:b/>
                <w:sz w:val="22"/>
              </w:rPr>
              <w:t>1</w:t>
            </w:r>
          </w:p>
        </w:tc>
        <w:tc>
          <w:tcPr>
            <w:tcW w:w="1972" w:type="dxa"/>
            <w:gridSpan w:val="4"/>
            <w:vMerge w:val="restart"/>
            <w:shd w:val="clear" w:color="auto" w:fill="00B0F0"/>
            <w:tcMar>
              <w:top w:w="113" w:type="dxa"/>
              <w:left w:w="113" w:type="dxa"/>
              <w:bottom w:w="113" w:type="dxa"/>
              <w:right w:w="113" w:type="dxa"/>
            </w:tcMar>
            <w:vAlign w:val="center"/>
            <w:hideMark/>
          </w:tcPr>
          <w:p w14:paraId="10587E63" w14:textId="77777777" w:rsidR="005C4599" w:rsidRPr="003058F5" w:rsidRDefault="005C4599" w:rsidP="00016ECB">
            <w:pPr>
              <w:spacing w:line="240" w:lineRule="auto"/>
              <w:jc w:val="center"/>
              <w:textAlignment w:val="baseline"/>
              <w:rPr>
                <w:rFonts w:eastAsia="Times New Roman" w:cs="Arial"/>
                <w:b/>
                <w:bCs/>
                <w:color w:val="FFFFFF" w:themeColor="background1"/>
                <w:sz w:val="14"/>
                <w:szCs w:val="14"/>
              </w:rPr>
            </w:pPr>
            <w:r>
              <w:rPr>
                <w:b/>
                <w:color w:val="FFFFFF" w:themeColor="background1"/>
                <w:sz w:val="14"/>
              </w:rPr>
              <w:t>Type d'indicateur</w:t>
            </w:r>
          </w:p>
          <w:p w14:paraId="2DF5458D" w14:textId="77777777" w:rsidR="005C4599" w:rsidRPr="003058F5" w:rsidRDefault="005C4599" w:rsidP="00016ECB">
            <w:pPr>
              <w:spacing w:line="240" w:lineRule="auto"/>
              <w:jc w:val="center"/>
              <w:textAlignment w:val="baseline"/>
              <w:rPr>
                <w:rFonts w:eastAsia="Times New Roman" w:cs="Arial"/>
                <w:b/>
                <w:bCs/>
                <w:color w:val="FFFFFF" w:themeColor="background1"/>
                <w:sz w:val="14"/>
                <w:szCs w:val="14"/>
                <w:lang w:eastAsia="en-GB"/>
              </w:rPr>
            </w:pPr>
          </w:p>
          <w:p w14:paraId="357A04CB" w14:textId="77777777" w:rsidR="005C4599" w:rsidRPr="003058F5" w:rsidRDefault="005C4599" w:rsidP="00016ECB">
            <w:pPr>
              <w:autoSpaceDE w:val="0"/>
              <w:autoSpaceDN w:val="0"/>
              <w:adjustRightInd w:val="0"/>
              <w:spacing w:line="240" w:lineRule="auto"/>
              <w:jc w:val="center"/>
              <w:rPr>
                <w:rFonts w:eastAsia="Times New Roman" w:cs="Arial"/>
                <w:color w:val="FFFFFF" w:themeColor="background1"/>
                <w:sz w:val="32"/>
                <w:szCs w:val="32"/>
              </w:rPr>
            </w:pPr>
            <w:r>
              <w:rPr>
                <w:b/>
                <w:color w:val="FFFFFF" w:themeColor="background1"/>
                <w:sz w:val="32"/>
              </w:rPr>
              <w:t>CORE</w:t>
            </w:r>
          </w:p>
        </w:tc>
      </w:tr>
      <w:tr w:rsidR="00A93B99" w:rsidRPr="003058F5" w14:paraId="5384733F" w14:textId="77777777" w:rsidTr="00A966F3">
        <w:trPr>
          <w:gridAfter w:val="1"/>
          <w:wAfter w:w="8" w:type="dxa"/>
          <w:trHeight w:val="367"/>
        </w:trPr>
        <w:tc>
          <w:tcPr>
            <w:tcW w:w="1793" w:type="dxa"/>
            <w:vMerge/>
            <w:vAlign w:val="center"/>
          </w:tcPr>
          <w:p w14:paraId="74D1B60A" w14:textId="77777777" w:rsidR="005C4599" w:rsidRPr="003058F5" w:rsidRDefault="005C4599" w:rsidP="00016ECB">
            <w:pPr>
              <w:spacing w:line="240" w:lineRule="auto"/>
              <w:jc w:val="center"/>
              <w:textAlignment w:val="baseline"/>
              <w:rPr>
                <w:rFonts w:eastAsia="Times New Roman" w:cs="Arial"/>
                <w:b/>
                <w:sz w:val="14"/>
                <w:szCs w:val="14"/>
                <w:lang w:eastAsia="en-GB"/>
              </w:rPr>
            </w:pPr>
          </w:p>
        </w:tc>
        <w:tc>
          <w:tcPr>
            <w:tcW w:w="1546" w:type="dxa"/>
            <w:gridSpan w:val="3"/>
            <w:tcBorders>
              <w:bottom w:val="single" w:sz="6" w:space="0" w:color="A6A6A6" w:themeColor="background1" w:themeShade="A6"/>
            </w:tcBorders>
            <w:shd w:val="clear" w:color="auto" w:fill="DFF5F9"/>
            <w:vAlign w:val="center"/>
          </w:tcPr>
          <w:p w14:paraId="2C41943F" w14:textId="74EF6DC9" w:rsidR="005C4599" w:rsidRPr="003058F5" w:rsidRDefault="005C4599" w:rsidP="00016ECB">
            <w:pPr>
              <w:spacing w:line="240" w:lineRule="auto"/>
              <w:textAlignment w:val="baseline"/>
              <w:rPr>
                <w:rFonts w:eastAsia="Times New Roman" w:cs="Arial"/>
                <w:b/>
                <w:sz w:val="14"/>
                <w:szCs w:val="14"/>
              </w:rPr>
            </w:pPr>
            <w:r>
              <w:rPr>
                <w:b/>
                <w:sz w:val="14"/>
              </w:rPr>
              <w:t>Accès à</w:t>
            </w:r>
            <w:r w:rsidR="00767929">
              <w:rPr>
                <w:b/>
                <w:sz w:val="14"/>
              </w:rPr>
              <w:t> :</w:t>
            </w:r>
          </w:p>
        </w:tc>
        <w:tc>
          <w:tcPr>
            <w:tcW w:w="2980" w:type="dxa"/>
            <w:gridSpan w:val="4"/>
            <w:tcBorders>
              <w:bottom w:val="single" w:sz="6" w:space="0" w:color="A6A6A6" w:themeColor="background1" w:themeShade="A6"/>
            </w:tcBorders>
            <w:shd w:val="clear" w:color="auto" w:fill="DFF5F9"/>
            <w:vAlign w:val="center"/>
          </w:tcPr>
          <w:p w14:paraId="6AE0FD0A" w14:textId="77B0245A" w:rsidR="005C4599" w:rsidRPr="003058F5" w:rsidRDefault="00E85A14" w:rsidP="00016ECB">
            <w:pPr>
              <w:spacing w:line="240" w:lineRule="auto"/>
              <w:textAlignment w:val="baseline"/>
              <w:rPr>
                <w:rFonts w:eastAsia="Times New Roman" w:cs="Arial"/>
                <w:b/>
                <w:sz w:val="14"/>
                <w:szCs w:val="14"/>
              </w:rPr>
            </w:pPr>
            <w:r>
              <w:rPr>
                <w:b/>
                <w:sz w:val="22"/>
              </w:rPr>
              <w:t>Sans objet</w:t>
            </w:r>
          </w:p>
        </w:tc>
        <w:tc>
          <w:tcPr>
            <w:tcW w:w="4625" w:type="dxa"/>
            <w:gridSpan w:val="6"/>
            <w:vMerge/>
            <w:vAlign w:val="center"/>
          </w:tcPr>
          <w:p w14:paraId="545865C3" w14:textId="77777777" w:rsidR="005C4599" w:rsidRPr="003058F5" w:rsidRDefault="005C4599" w:rsidP="00016ECB">
            <w:pPr>
              <w:spacing w:line="240" w:lineRule="auto"/>
              <w:jc w:val="center"/>
              <w:textAlignment w:val="baseline"/>
              <w:rPr>
                <w:rFonts w:eastAsia="Times New Roman" w:cs="Arial"/>
                <w:b/>
                <w:sz w:val="14"/>
                <w:szCs w:val="14"/>
                <w:lang w:eastAsia="en-GB"/>
              </w:rPr>
            </w:pPr>
          </w:p>
        </w:tc>
        <w:tc>
          <w:tcPr>
            <w:tcW w:w="1960" w:type="dxa"/>
            <w:gridSpan w:val="3"/>
            <w:vMerge/>
            <w:vAlign w:val="center"/>
          </w:tcPr>
          <w:p w14:paraId="5E44D0DD" w14:textId="77777777" w:rsidR="005C4599" w:rsidRPr="003058F5" w:rsidRDefault="005C4599" w:rsidP="00016ECB">
            <w:pPr>
              <w:spacing w:line="240" w:lineRule="auto"/>
              <w:jc w:val="center"/>
              <w:textAlignment w:val="baseline"/>
              <w:rPr>
                <w:rFonts w:eastAsia="Times New Roman" w:cs="Arial"/>
                <w:b/>
                <w:bCs/>
                <w:sz w:val="14"/>
                <w:szCs w:val="14"/>
                <w:lang w:eastAsia="en-GB"/>
              </w:rPr>
            </w:pPr>
          </w:p>
        </w:tc>
        <w:tc>
          <w:tcPr>
            <w:tcW w:w="1972" w:type="dxa"/>
            <w:gridSpan w:val="4"/>
            <w:vMerge/>
            <w:tcMar>
              <w:top w:w="113" w:type="dxa"/>
              <w:left w:w="113" w:type="dxa"/>
              <w:bottom w:w="113" w:type="dxa"/>
              <w:right w:w="113" w:type="dxa"/>
            </w:tcMar>
            <w:vAlign w:val="center"/>
          </w:tcPr>
          <w:p w14:paraId="110DA520" w14:textId="77777777" w:rsidR="005C4599" w:rsidRPr="003058F5" w:rsidRDefault="005C4599" w:rsidP="00016ECB">
            <w:pPr>
              <w:spacing w:line="240" w:lineRule="auto"/>
              <w:jc w:val="center"/>
              <w:textAlignment w:val="baseline"/>
              <w:rPr>
                <w:rFonts w:eastAsia="Times New Roman" w:cs="Arial"/>
                <w:b/>
                <w:bCs/>
                <w:color w:val="FFFFFF" w:themeColor="background1"/>
                <w:sz w:val="14"/>
                <w:szCs w:val="14"/>
                <w:lang w:eastAsia="en-GB"/>
              </w:rPr>
            </w:pPr>
          </w:p>
        </w:tc>
      </w:tr>
      <w:tr w:rsidR="005C4599" w:rsidRPr="003058F5" w14:paraId="6C8722B1" w14:textId="77777777" w:rsidTr="00F15919">
        <w:trPr>
          <w:gridAfter w:val="2"/>
          <w:wAfter w:w="24" w:type="dxa"/>
          <w:trHeight w:val="567"/>
        </w:trPr>
        <w:tc>
          <w:tcPr>
            <w:tcW w:w="14860" w:type="dxa"/>
            <w:gridSpan w:val="20"/>
            <w:tcBorders>
              <w:top w:val="single" w:sz="6" w:space="0" w:color="A6A6A6" w:themeColor="background1" w:themeShade="A6"/>
              <w:left w:val="single" w:sz="6" w:space="0" w:color="A6A6A6" w:themeColor="background1" w:themeShade="A6"/>
              <w:bottom w:val="nil"/>
              <w:right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1B4621B0" w14:textId="362E5D2C" w:rsidR="00D57626" w:rsidRPr="003058F5" w:rsidRDefault="00A56D15" w:rsidP="005C4599">
            <w:pPr>
              <w:spacing w:line="276" w:lineRule="auto"/>
              <w:textAlignment w:val="baseline"/>
              <w:rPr>
                <w:rFonts w:eastAsia="Times New Roman" w:cs="Arial"/>
                <w:b/>
              </w:rPr>
            </w:pPr>
            <w:r>
              <w:rPr>
                <w:b/>
              </w:rPr>
              <w:t xml:space="preserve">Comment votre recherche sur les investissements prend-elle en compte les </w:t>
            </w:r>
            <w:hyperlink r:id="rId36" w:history="1">
              <w:r>
                <w:rPr>
                  <w:rStyle w:val="Lienhypertexte"/>
                </w:rPr>
                <w:t>risques</w:t>
              </w:r>
              <w:r w:rsidR="003D4C97">
                <w:rPr>
                  <w:rStyle w:val="Lienhypertexte"/>
                </w:rPr>
                <w:t xml:space="preserve"> ESG</w:t>
              </w:r>
              <w:r>
                <w:rPr>
                  <w:rStyle w:val="Lienhypertexte"/>
                </w:rPr>
                <w:t xml:space="preserve"> </w:t>
              </w:r>
            </w:hyperlink>
            <w:r>
              <w:rPr>
                <w:b/>
              </w:rPr>
              <w:t xml:space="preserve">et </w:t>
            </w:r>
            <w:hyperlink r:id="rId37" w:history="1">
              <w:r>
                <w:rPr>
                  <w:rStyle w:val="Lienhypertexte"/>
                </w:rPr>
                <w:t>opportunités ESG</w:t>
              </w:r>
            </w:hyperlink>
            <w:r>
              <w:rPr>
                <w:b/>
              </w:rPr>
              <w:t xml:space="preserve"> majeurs dans la sélection des sociétés cotées ou des émetteurs de dette d'entreprise</w:t>
            </w:r>
            <w:r w:rsidR="00767929">
              <w:rPr>
                <w:b/>
              </w:rPr>
              <w:t> ?</w:t>
            </w:r>
          </w:p>
        </w:tc>
      </w:tr>
      <w:tr w:rsidR="007A2C9A" w:rsidRPr="003058F5" w14:paraId="2F319F93" w14:textId="77777777" w:rsidTr="00A966F3">
        <w:trPr>
          <w:gridAfter w:val="2"/>
          <w:wAfter w:w="16" w:type="dxa"/>
          <w:trHeight w:val="25"/>
        </w:trPr>
        <w:tc>
          <w:tcPr>
            <w:tcW w:w="3276" w:type="dxa"/>
            <w:gridSpan w:val="3"/>
            <w:shd w:val="clear" w:color="auto" w:fill="FFFFFF" w:themeFill="background1"/>
            <w:tcMar>
              <w:top w:w="113" w:type="dxa"/>
              <w:left w:w="113" w:type="dxa"/>
              <w:bottom w:w="113" w:type="dxa"/>
              <w:right w:w="113" w:type="dxa"/>
            </w:tcMar>
            <w:vAlign w:val="center"/>
            <w:hideMark/>
          </w:tcPr>
          <w:p w14:paraId="63316116" w14:textId="77777777" w:rsidR="00A009CD" w:rsidRPr="003058F5" w:rsidRDefault="00A009CD" w:rsidP="00016ECB">
            <w:pPr>
              <w:spacing w:line="276" w:lineRule="auto"/>
              <w:textAlignment w:val="baseline"/>
              <w:rPr>
                <w:rFonts w:eastAsia="Times New Roman" w:cs="Arial"/>
                <w:szCs w:val="16"/>
                <w:lang w:eastAsia="en-GB"/>
              </w:rPr>
            </w:pPr>
          </w:p>
        </w:tc>
        <w:tc>
          <w:tcPr>
            <w:tcW w:w="11592" w:type="dxa"/>
            <w:gridSpan w:val="17"/>
            <w:tcBorders>
              <w:bottom w:val="single" w:sz="6" w:space="0" w:color="A6A6A6" w:themeColor="background1" w:themeShade="A6"/>
            </w:tcBorders>
            <w:shd w:val="clear" w:color="auto" w:fill="F2F2F2" w:themeFill="background1" w:themeFillShade="F2"/>
            <w:vAlign w:val="center"/>
          </w:tcPr>
          <w:p w14:paraId="174AE4A1" w14:textId="3E5FF58A" w:rsidR="00A009CD" w:rsidRPr="003058F5" w:rsidRDefault="00425183" w:rsidP="00321BD7">
            <w:pPr>
              <w:spacing w:line="276" w:lineRule="auto"/>
              <w:jc w:val="center"/>
              <w:textAlignment w:val="baseline"/>
              <w:rPr>
                <w:rFonts w:eastAsia="Times New Roman" w:cs="Arial"/>
                <w:b/>
                <w:szCs w:val="16"/>
              </w:rPr>
            </w:pPr>
            <w:r>
              <w:rPr>
                <w:b/>
              </w:rPr>
              <w:t>Stratégies relatives aux fonds spéculatifs gérés en interne</w:t>
            </w:r>
          </w:p>
        </w:tc>
      </w:tr>
      <w:tr w:rsidR="00F94764" w:rsidRPr="003058F5" w14:paraId="6DD6F047" w14:textId="77777777" w:rsidTr="00A966F3">
        <w:trPr>
          <w:gridAfter w:val="1"/>
          <w:wAfter w:w="16" w:type="dxa"/>
          <w:trHeight w:val="465"/>
        </w:trPr>
        <w:tc>
          <w:tcPr>
            <w:tcW w:w="3276" w:type="dxa"/>
            <w:gridSpan w:val="3"/>
            <w:tcMar>
              <w:top w:w="113" w:type="dxa"/>
              <w:left w:w="113" w:type="dxa"/>
              <w:bottom w:w="113" w:type="dxa"/>
              <w:right w:w="113" w:type="dxa"/>
            </w:tcMar>
            <w:vAlign w:val="center"/>
          </w:tcPr>
          <w:p w14:paraId="5968EEAA" w14:textId="77777777" w:rsidR="00A009CD" w:rsidRPr="003058F5" w:rsidRDefault="00A009CD" w:rsidP="00016ECB">
            <w:pPr>
              <w:spacing w:line="276" w:lineRule="auto"/>
              <w:textAlignment w:val="baseline"/>
              <w:rPr>
                <w:rFonts w:eastAsia="Times New Roman" w:cs="Arial"/>
                <w:szCs w:val="16"/>
                <w:lang w:eastAsia="en-GB"/>
              </w:rPr>
            </w:pPr>
          </w:p>
        </w:tc>
        <w:tc>
          <w:tcPr>
            <w:tcW w:w="1285"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0DC3BDD0" w14:textId="025B769E" w:rsidR="00034B6F" w:rsidRPr="003058F5" w:rsidRDefault="00034B6F" w:rsidP="00DF59AB">
            <w:pPr>
              <w:spacing w:line="276" w:lineRule="auto"/>
              <w:jc w:val="center"/>
              <w:textAlignment w:val="baseline"/>
              <w:rPr>
                <w:rFonts w:eastAsia="Times New Roman" w:cs="Arial"/>
                <w:b/>
                <w:sz w:val="18"/>
                <w:szCs w:val="14"/>
              </w:rPr>
            </w:pPr>
            <w:r>
              <w:rPr>
                <w:b/>
                <w:sz w:val="18"/>
              </w:rPr>
              <w:t>Toutes les stratégies</w:t>
            </w:r>
          </w:p>
        </w:tc>
        <w:tc>
          <w:tcPr>
            <w:tcW w:w="1287"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2998E433" w14:textId="387D5D9C" w:rsidR="00A009CD" w:rsidRPr="003058F5" w:rsidRDefault="00C73077" w:rsidP="00DF59AB">
            <w:pPr>
              <w:spacing w:line="276" w:lineRule="auto"/>
              <w:jc w:val="center"/>
              <w:textAlignment w:val="baseline"/>
              <w:rPr>
                <w:rFonts w:eastAsia="Times New Roman" w:cs="Arial"/>
                <w:b/>
                <w:sz w:val="18"/>
                <w:szCs w:val="14"/>
              </w:rPr>
            </w:pPr>
            <w:r>
              <w:rPr>
                <w:b/>
                <w:sz w:val="18"/>
              </w:rPr>
              <w:t xml:space="preserve">(1) </w:t>
            </w:r>
            <w:hyperlink r:id="rId38" w:history="1">
              <w:r>
                <w:rPr>
                  <w:rStyle w:val="Lienhypertexte"/>
                  <w:b/>
                  <w:sz w:val="18"/>
                </w:rPr>
                <w:t>Multi-stratégies</w:t>
              </w:r>
            </w:hyperlink>
          </w:p>
        </w:tc>
        <w:tc>
          <w:tcPr>
            <w:tcW w:w="1288"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69773657" w14:textId="3C7D03E3" w:rsidR="00A009CD" w:rsidRPr="003058F5" w:rsidRDefault="00C73077" w:rsidP="00DF59AB">
            <w:pPr>
              <w:spacing w:line="276" w:lineRule="auto"/>
              <w:jc w:val="center"/>
              <w:textAlignment w:val="baseline"/>
              <w:rPr>
                <w:rFonts w:eastAsia="Times New Roman" w:cs="Arial"/>
                <w:b/>
                <w:sz w:val="18"/>
                <w:szCs w:val="14"/>
              </w:rPr>
            </w:pPr>
            <w:r>
              <w:rPr>
                <w:b/>
                <w:sz w:val="18"/>
              </w:rPr>
              <w:t xml:space="preserve">(2) </w:t>
            </w:r>
            <w:r>
              <w:t xml:space="preserve">Stratégies </w:t>
            </w:r>
            <w:hyperlink r:id="rId39" w:history="1">
              <w:r>
                <w:rPr>
                  <w:rStyle w:val="Lienhypertexte"/>
                  <w:b/>
                  <w:sz w:val="18"/>
                </w:rPr>
                <w:t>long/short actions</w:t>
              </w:r>
            </w:hyperlink>
          </w:p>
        </w:tc>
        <w:tc>
          <w:tcPr>
            <w:tcW w:w="129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1D6CA231" w14:textId="230AE99E" w:rsidR="00A009CD" w:rsidRPr="003058F5" w:rsidRDefault="00C73077" w:rsidP="00DF59AB">
            <w:pPr>
              <w:spacing w:line="276" w:lineRule="auto"/>
              <w:jc w:val="center"/>
              <w:textAlignment w:val="baseline"/>
              <w:rPr>
                <w:rFonts w:eastAsia="Times New Roman" w:cs="Arial"/>
                <w:b/>
                <w:sz w:val="18"/>
                <w:szCs w:val="14"/>
              </w:rPr>
            </w:pPr>
            <w:r>
              <w:rPr>
                <w:b/>
                <w:sz w:val="18"/>
              </w:rPr>
              <w:t xml:space="preserve">(3) </w:t>
            </w:r>
            <w:r>
              <w:rPr>
                <w:b/>
                <w:bCs/>
                <w:sz w:val="18"/>
              </w:rPr>
              <w:t>Stratégies</w:t>
            </w:r>
            <w:r>
              <w:rPr>
                <w:b/>
                <w:sz w:val="18"/>
              </w:rPr>
              <w:t xml:space="preserve"> </w:t>
            </w:r>
            <w:hyperlink r:id="rId40" w:history="1">
              <w:r>
                <w:rPr>
                  <w:rStyle w:val="Lienhypertexte"/>
                  <w:b/>
                  <w:sz w:val="18"/>
                </w:rPr>
                <w:t>long/short crédit</w:t>
              </w:r>
            </w:hyperlink>
          </w:p>
        </w:tc>
        <w:tc>
          <w:tcPr>
            <w:tcW w:w="128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6B96EB91" w14:textId="74B1172E" w:rsidR="00A009CD" w:rsidRPr="003058F5" w:rsidRDefault="00C73077" w:rsidP="00DF59AB">
            <w:pPr>
              <w:spacing w:line="276" w:lineRule="auto"/>
              <w:jc w:val="center"/>
              <w:textAlignment w:val="baseline"/>
              <w:rPr>
                <w:rFonts w:eastAsia="Times New Roman" w:cs="Arial"/>
                <w:b/>
                <w:sz w:val="18"/>
                <w:szCs w:val="14"/>
              </w:rPr>
            </w:pPr>
            <w:r>
              <w:rPr>
                <w:b/>
                <w:sz w:val="18"/>
              </w:rPr>
              <w:t xml:space="preserve">(4) </w:t>
            </w:r>
            <w:hyperlink r:id="rId41" w:history="1">
              <w:r>
                <w:rPr>
                  <w:rStyle w:val="Lienhypertexte"/>
                  <w:b/>
                  <w:sz w:val="18"/>
                </w:rPr>
                <w:t>Dette décotée (</w:t>
              </w:r>
              <w:proofErr w:type="spellStart"/>
              <w:r>
                <w:rPr>
                  <w:rStyle w:val="Lienhypertexte"/>
                  <w:b/>
                  <w:i/>
                  <w:iCs/>
                  <w:sz w:val="18"/>
                </w:rPr>
                <w:t>distressed</w:t>
              </w:r>
              <w:proofErr w:type="spellEnd"/>
              <w:r>
                <w:rPr>
                  <w:rStyle w:val="Lienhypertexte"/>
                  <w:b/>
                  <w:sz w:val="18"/>
                </w:rPr>
                <w:t>), situations spéciales et stratégie fondamentale faisant suite à un événement</w:t>
              </w:r>
            </w:hyperlink>
          </w:p>
        </w:tc>
        <w:tc>
          <w:tcPr>
            <w:tcW w:w="1287"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17D81B9B" w14:textId="48D3362C" w:rsidR="00A009CD" w:rsidRPr="003058F5" w:rsidRDefault="00C73077" w:rsidP="00DF59AB">
            <w:pPr>
              <w:spacing w:line="276" w:lineRule="auto"/>
              <w:jc w:val="center"/>
              <w:textAlignment w:val="baseline"/>
              <w:rPr>
                <w:rFonts w:eastAsia="Times New Roman" w:cs="Arial"/>
                <w:b/>
                <w:sz w:val="18"/>
                <w:szCs w:val="14"/>
              </w:rPr>
            </w:pPr>
            <w:r>
              <w:rPr>
                <w:b/>
                <w:sz w:val="18"/>
              </w:rPr>
              <w:t xml:space="preserve">(5) </w:t>
            </w:r>
            <w:hyperlink r:id="rId42" w:history="1">
              <w:r>
                <w:rPr>
                  <w:rStyle w:val="Lienhypertexte"/>
                  <w:b/>
                  <w:sz w:val="18"/>
                </w:rPr>
                <w:t>Crédit structuré</w:t>
              </w:r>
            </w:hyperlink>
          </w:p>
        </w:tc>
        <w:tc>
          <w:tcPr>
            <w:tcW w:w="128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58A7BB96" w14:textId="1617B3F2" w:rsidR="00A009CD" w:rsidRPr="003058F5" w:rsidRDefault="00C73077" w:rsidP="00DF59AB">
            <w:pPr>
              <w:spacing w:line="276" w:lineRule="auto"/>
              <w:jc w:val="center"/>
              <w:textAlignment w:val="baseline"/>
              <w:rPr>
                <w:rFonts w:eastAsia="Times New Roman" w:cs="Arial"/>
                <w:b/>
                <w:sz w:val="18"/>
                <w:szCs w:val="14"/>
              </w:rPr>
            </w:pPr>
            <w:r>
              <w:rPr>
                <w:b/>
                <w:sz w:val="18"/>
              </w:rPr>
              <w:t xml:space="preserve">(6) </w:t>
            </w:r>
            <w:r>
              <w:t xml:space="preserve">Stratégies </w:t>
            </w:r>
            <w:r w:rsidR="00FC3BD3">
              <w:t>« </w:t>
            </w:r>
            <w:hyperlink r:id="rId43" w:history="1">
              <w:r>
                <w:rPr>
                  <w:rStyle w:val="Lienhypertexte"/>
                  <w:b/>
                  <w:sz w:val="18"/>
                </w:rPr>
                <w:t>Global macro</w:t>
              </w:r>
            </w:hyperlink>
            <w:r w:rsidR="00FC3BD3">
              <w:t> »</w:t>
            </w:r>
          </w:p>
        </w:tc>
        <w:tc>
          <w:tcPr>
            <w:tcW w:w="128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35D43EC3" w14:textId="3BB897AF" w:rsidR="00A009CD" w:rsidRPr="003058F5" w:rsidRDefault="00C73077" w:rsidP="00DF59AB">
            <w:pPr>
              <w:spacing w:line="276" w:lineRule="auto"/>
              <w:jc w:val="center"/>
              <w:textAlignment w:val="baseline"/>
              <w:rPr>
                <w:rFonts w:eastAsia="Times New Roman" w:cs="Arial"/>
                <w:b/>
                <w:sz w:val="18"/>
                <w:szCs w:val="14"/>
              </w:rPr>
            </w:pPr>
            <w:r>
              <w:rPr>
                <w:b/>
                <w:sz w:val="18"/>
              </w:rPr>
              <w:t xml:space="preserve">(7) </w:t>
            </w:r>
            <w:hyperlink r:id="rId44" w:history="1">
              <w:r>
                <w:rPr>
                  <w:rStyle w:val="Lienhypertexte"/>
                  <w:b/>
                  <w:sz w:val="18"/>
                </w:rPr>
                <w:t>Stratégies de CTA (</w:t>
              </w:r>
              <w:proofErr w:type="spellStart"/>
              <w:r>
                <w:rPr>
                  <w:rStyle w:val="Lienhypertexte"/>
                  <w:b/>
                  <w:i/>
                  <w:iCs/>
                  <w:sz w:val="18"/>
                </w:rPr>
                <w:t>Commodity</w:t>
              </w:r>
              <w:proofErr w:type="spellEnd"/>
              <w:r>
                <w:rPr>
                  <w:rStyle w:val="Lienhypertexte"/>
                  <w:b/>
                  <w:i/>
                  <w:iCs/>
                  <w:sz w:val="18"/>
                </w:rPr>
                <w:t xml:space="preserve"> trading </w:t>
              </w:r>
              <w:proofErr w:type="spellStart"/>
              <w:r>
                <w:rPr>
                  <w:rStyle w:val="Lienhypertexte"/>
                  <w:b/>
                  <w:i/>
                  <w:iCs/>
                  <w:sz w:val="18"/>
                </w:rPr>
                <w:t>advisor</w:t>
              </w:r>
              <w:proofErr w:type="spellEnd"/>
              <w:r>
                <w:rPr>
                  <w:rStyle w:val="Lienhypertexte"/>
                  <w:b/>
                  <w:sz w:val="18"/>
                </w:rPr>
                <w:t>)</w:t>
              </w:r>
            </w:hyperlink>
          </w:p>
        </w:tc>
        <w:tc>
          <w:tcPr>
            <w:tcW w:w="1293"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2A788D71" w14:textId="263F6DF9" w:rsidR="00A009CD" w:rsidRPr="003058F5" w:rsidRDefault="00C73077" w:rsidP="00DF59AB">
            <w:pPr>
              <w:spacing w:line="276" w:lineRule="auto"/>
              <w:jc w:val="center"/>
              <w:textAlignment w:val="baseline"/>
              <w:rPr>
                <w:rFonts w:eastAsia="Times New Roman" w:cs="Arial"/>
                <w:b/>
                <w:sz w:val="18"/>
                <w:szCs w:val="14"/>
              </w:rPr>
            </w:pPr>
            <w:r>
              <w:rPr>
                <w:b/>
                <w:sz w:val="18"/>
              </w:rPr>
              <w:t>(8) Autres stratégies</w:t>
            </w:r>
          </w:p>
        </w:tc>
      </w:tr>
      <w:tr w:rsidR="00F94764" w:rsidRPr="003058F5" w14:paraId="629CD032" w14:textId="77777777" w:rsidTr="00A966F3">
        <w:trPr>
          <w:gridAfter w:val="1"/>
          <w:wAfter w:w="8" w:type="dxa"/>
          <w:trHeight w:val="465"/>
        </w:trPr>
        <w:tc>
          <w:tcPr>
            <w:tcW w:w="3276"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2E622F04" w14:textId="6176EBF6" w:rsidR="00666375" w:rsidRPr="003058F5" w:rsidRDefault="00711D6D" w:rsidP="000C5103">
            <w:pPr>
              <w:spacing w:line="276" w:lineRule="auto"/>
              <w:textAlignment w:val="baseline"/>
              <w:rPr>
                <w:rFonts w:eastAsia="Times New Roman" w:cs="Arial"/>
                <w:szCs w:val="16"/>
              </w:rPr>
            </w:pPr>
            <w:r>
              <w:t xml:space="preserve">(A) Nous prenons en compte les risques et opportunités majeurs liés </w:t>
            </w:r>
            <w:proofErr w:type="gramStart"/>
            <w:r>
              <w:t>à la gouvernance susceptibles</w:t>
            </w:r>
            <w:proofErr w:type="gramEnd"/>
            <w:r>
              <w:t xml:space="preserve"> d'affecter les produits et services fournis par des entreprises cotées ou des émetteurs de dette d’entreprise</w:t>
            </w:r>
          </w:p>
        </w:tc>
        <w:tc>
          <w:tcPr>
            <w:tcW w:w="1285"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4B388A36" w14:textId="465C4EE8" w:rsidR="00034B6F" w:rsidRDefault="00034B6F" w:rsidP="00034B6F">
            <w:pPr>
              <w:spacing w:line="276" w:lineRule="auto"/>
              <w:textAlignment w:val="baseline"/>
              <w:rPr>
                <w:rFonts w:eastAsia="Times New Roman" w:cs="Arial"/>
              </w:rPr>
            </w:pPr>
            <w:r>
              <w:t>[Liste déroulante]</w:t>
            </w:r>
          </w:p>
          <w:p w14:paraId="5E4BF4B8" w14:textId="77777777" w:rsidR="003C0436" w:rsidRPr="003058F5" w:rsidRDefault="003C0436" w:rsidP="00034B6F">
            <w:pPr>
              <w:spacing w:line="276" w:lineRule="auto"/>
              <w:textAlignment w:val="baseline"/>
              <w:rPr>
                <w:rFonts w:eastAsia="Times New Roman" w:cs="Arial"/>
                <w:lang w:eastAsia="en-GB"/>
              </w:rPr>
            </w:pPr>
          </w:p>
          <w:p w14:paraId="531B0585" w14:textId="77777777" w:rsidR="00034B6F" w:rsidRPr="003058F5" w:rsidRDefault="00034B6F" w:rsidP="00034B6F">
            <w:pPr>
              <w:spacing w:line="276" w:lineRule="auto"/>
              <w:textAlignment w:val="baseline"/>
              <w:rPr>
                <w:rFonts w:eastAsia="Times New Roman" w:cs="Arial"/>
              </w:rPr>
            </w:pPr>
            <w:r>
              <w:t>(1) systématiquement</w:t>
            </w:r>
          </w:p>
          <w:p w14:paraId="4EAF993B" w14:textId="6193C85C" w:rsidR="00034B6F" w:rsidRPr="003058F5" w:rsidRDefault="00034B6F" w:rsidP="00034B6F">
            <w:pPr>
              <w:spacing w:line="276" w:lineRule="auto"/>
              <w:textAlignment w:val="baseline"/>
              <w:rPr>
                <w:rFonts w:eastAsia="Times New Roman" w:cs="Arial"/>
              </w:rPr>
            </w:pPr>
            <w:r>
              <w:lastRenderedPageBreak/>
              <w:t>(2) dans la plupart des cas</w:t>
            </w:r>
          </w:p>
          <w:p w14:paraId="4C62DDBA" w14:textId="41964513" w:rsidR="00034B6F" w:rsidRPr="003058F5" w:rsidRDefault="00034B6F" w:rsidP="00034B6F">
            <w:pPr>
              <w:spacing w:line="276" w:lineRule="auto"/>
              <w:textAlignment w:val="baseline"/>
              <w:rPr>
                <w:rFonts w:eastAsia="Times New Roman" w:cs="Arial"/>
              </w:rPr>
            </w:pPr>
            <w:r>
              <w:t>(3) dans certains cas</w:t>
            </w:r>
          </w:p>
        </w:tc>
        <w:tc>
          <w:tcPr>
            <w:tcW w:w="1287"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53CB0BBD" w14:textId="27330BE0" w:rsidR="00034B6F" w:rsidRDefault="00034B6F" w:rsidP="00034B6F">
            <w:pPr>
              <w:spacing w:line="276" w:lineRule="auto"/>
              <w:textAlignment w:val="baseline"/>
              <w:rPr>
                <w:rFonts w:eastAsia="Times New Roman" w:cs="Arial"/>
              </w:rPr>
            </w:pPr>
            <w:r>
              <w:lastRenderedPageBreak/>
              <w:t>[Liste déroulante]</w:t>
            </w:r>
          </w:p>
          <w:p w14:paraId="6C5B4AAB" w14:textId="77777777" w:rsidR="003C0436" w:rsidRPr="003058F5" w:rsidRDefault="003C0436" w:rsidP="00034B6F">
            <w:pPr>
              <w:spacing w:line="276" w:lineRule="auto"/>
              <w:textAlignment w:val="baseline"/>
              <w:rPr>
                <w:rFonts w:eastAsia="Times New Roman" w:cs="Arial"/>
                <w:lang w:eastAsia="en-GB"/>
              </w:rPr>
            </w:pPr>
          </w:p>
          <w:p w14:paraId="2F8E2B80" w14:textId="77777777" w:rsidR="00034B6F" w:rsidRPr="003058F5" w:rsidRDefault="00034B6F" w:rsidP="00034B6F">
            <w:pPr>
              <w:spacing w:line="276" w:lineRule="auto"/>
              <w:textAlignment w:val="baseline"/>
              <w:rPr>
                <w:rFonts w:eastAsia="Times New Roman" w:cs="Arial"/>
              </w:rPr>
            </w:pPr>
            <w:r>
              <w:t>(1) systématiquement</w:t>
            </w:r>
          </w:p>
          <w:p w14:paraId="7C279F2B" w14:textId="7D7A6542" w:rsidR="00034B6F" w:rsidRPr="003058F5" w:rsidRDefault="00034B6F" w:rsidP="00034B6F">
            <w:pPr>
              <w:spacing w:line="276" w:lineRule="auto"/>
              <w:textAlignment w:val="baseline"/>
              <w:rPr>
                <w:rFonts w:eastAsia="Times New Roman" w:cs="Arial"/>
              </w:rPr>
            </w:pPr>
            <w:r>
              <w:lastRenderedPageBreak/>
              <w:t>(2) dans la plupart des cas</w:t>
            </w:r>
          </w:p>
          <w:p w14:paraId="07B28612" w14:textId="17123460" w:rsidR="00666375" w:rsidRPr="003058F5" w:rsidRDefault="00034B6F" w:rsidP="00F15919">
            <w:pPr>
              <w:spacing w:line="276" w:lineRule="auto"/>
              <w:textAlignment w:val="baseline"/>
              <w:rPr>
                <w:rFonts w:eastAsia="Times New Roman" w:cs="Arial"/>
                <w:szCs w:val="16"/>
              </w:rPr>
            </w:pPr>
            <w:r>
              <w:t>(3) dans certains cas</w:t>
            </w:r>
          </w:p>
        </w:tc>
        <w:tc>
          <w:tcPr>
            <w:tcW w:w="1288"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3070152D" w14:textId="770EBE89" w:rsidR="00034B6F" w:rsidRDefault="00034B6F" w:rsidP="00034B6F">
            <w:pPr>
              <w:spacing w:line="276" w:lineRule="auto"/>
              <w:textAlignment w:val="baseline"/>
              <w:rPr>
                <w:rFonts w:eastAsia="Times New Roman" w:cs="Arial"/>
              </w:rPr>
            </w:pPr>
            <w:r>
              <w:lastRenderedPageBreak/>
              <w:t>[Liste déroulante]</w:t>
            </w:r>
          </w:p>
          <w:p w14:paraId="0BB081FD" w14:textId="77777777" w:rsidR="003C0436" w:rsidRPr="003058F5" w:rsidRDefault="003C0436" w:rsidP="00034B6F">
            <w:pPr>
              <w:spacing w:line="276" w:lineRule="auto"/>
              <w:textAlignment w:val="baseline"/>
              <w:rPr>
                <w:rFonts w:eastAsia="Times New Roman" w:cs="Arial"/>
                <w:lang w:eastAsia="en-GB"/>
              </w:rPr>
            </w:pPr>
          </w:p>
          <w:p w14:paraId="56E93211" w14:textId="77777777" w:rsidR="00034B6F" w:rsidRPr="003058F5" w:rsidRDefault="00034B6F" w:rsidP="00034B6F">
            <w:pPr>
              <w:spacing w:line="276" w:lineRule="auto"/>
              <w:textAlignment w:val="baseline"/>
              <w:rPr>
                <w:rFonts w:eastAsia="Times New Roman" w:cs="Arial"/>
              </w:rPr>
            </w:pPr>
            <w:r>
              <w:t>(1) systématiquement</w:t>
            </w:r>
          </w:p>
          <w:p w14:paraId="4B32A465" w14:textId="5B8B8E22" w:rsidR="00034B6F" w:rsidRPr="003058F5" w:rsidRDefault="00034B6F" w:rsidP="00034B6F">
            <w:pPr>
              <w:spacing w:line="276" w:lineRule="auto"/>
              <w:textAlignment w:val="baseline"/>
              <w:rPr>
                <w:rFonts w:eastAsia="Times New Roman" w:cs="Arial"/>
              </w:rPr>
            </w:pPr>
            <w:r>
              <w:lastRenderedPageBreak/>
              <w:t>(2) dans la plupart des cas</w:t>
            </w:r>
          </w:p>
          <w:p w14:paraId="66CE1D4E" w14:textId="70D997F2" w:rsidR="00666375" w:rsidRPr="003058F5" w:rsidRDefault="00034B6F" w:rsidP="00F15919">
            <w:pPr>
              <w:spacing w:line="276" w:lineRule="auto"/>
              <w:textAlignment w:val="baseline"/>
              <w:rPr>
                <w:rFonts w:eastAsia="Times New Roman" w:cs="Arial"/>
                <w:szCs w:val="16"/>
              </w:rPr>
            </w:pPr>
            <w:r>
              <w:t>(3) dans certains cas</w:t>
            </w:r>
          </w:p>
        </w:tc>
        <w:tc>
          <w:tcPr>
            <w:tcW w:w="129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66A71646" w14:textId="0CE9EF52" w:rsidR="00034B6F" w:rsidRDefault="00034B6F" w:rsidP="00034B6F">
            <w:pPr>
              <w:spacing w:line="276" w:lineRule="auto"/>
              <w:textAlignment w:val="baseline"/>
              <w:rPr>
                <w:rFonts w:eastAsia="Times New Roman" w:cs="Arial"/>
              </w:rPr>
            </w:pPr>
            <w:r>
              <w:lastRenderedPageBreak/>
              <w:t>[Liste déroulante]</w:t>
            </w:r>
          </w:p>
          <w:p w14:paraId="058ECC26" w14:textId="77777777" w:rsidR="003C0436" w:rsidRPr="003058F5" w:rsidRDefault="003C0436" w:rsidP="00034B6F">
            <w:pPr>
              <w:spacing w:line="276" w:lineRule="auto"/>
              <w:textAlignment w:val="baseline"/>
              <w:rPr>
                <w:rFonts w:eastAsia="Times New Roman" w:cs="Arial"/>
                <w:lang w:eastAsia="en-GB"/>
              </w:rPr>
            </w:pPr>
          </w:p>
          <w:p w14:paraId="330E62E8" w14:textId="77777777" w:rsidR="00034B6F" w:rsidRPr="003058F5" w:rsidRDefault="00034B6F" w:rsidP="00034B6F">
            <w:pPr>
              <w:spacing w:line="276" w:lineRule="auto"/>
              <w:textAlignment w:val="baseline"/>
              <w:rPr>
                <w:rFonts w:eastAsia="Times New Roman" w:cs="Arial"/>
              </w:rPr>
            </w:pPr>
            <w:r>
              <w:t>(1) systématiquement</w:t>
            </w:r>
          </w:p>
          <w:p w14:paraId="49F53233" w14:textId="13D8A39E" w:rsidR="00034B6F" w:rsidRPr="003058F5" w:rsidRDefault="00034B6F" w:rsidP="00034B6F">
            <w:pPr>
              <w:spacing w:line="276" w:lineRule="auto"/>
              <w:textAlignment w:val="baseline"/>
              <w:rPr>
                <w:rFonts w:eastAsia="Times New Roman" w:cs="Arial"/>
              </w:rPr>
            </w:pPr>
            <w:r>
              <w:lastRenderedPageBreak/>
              <w:t>(2) dans la plupart des cas</w:t>
            </w:r>
          </w:p>
          <w:p w14:paraId="0C471F18" w14:textId="5E93B926" w:rsidR="00666375" w:rsidRPr="003058F5" w:rsidRDefault="00034B6F" w:rsidP="00F15919">
            <w:pPr>
              <w:spacing w:line="276" w:lineRule="auto"/>
              <w:textAlignment w:val="baseline"/>
              <w:rPr>
                <w:rFonts w:eastAsia="Times New Roman" w:cs="Arial"/>
                <w:szCs w:val="16"/>
              </w:rPr>
            </w:pPr>
            <w:r>
              <w:t>(3) dans certains cas</w:t>
            </w:r>
          </w:p>
        </w:tc>
        <w:tc>
          <w:tcPr>
            <w:tcW w:w="128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6432D2D9" w14:textId="65885F87" w:rsidR="00034B6F" w:rsidRDefault="00034B6F" w:rsidP="00034B6F">
            <w:pPr>
              <w:spacing w:line="276" w:lineRule="auto"/>
              <w:textAlignment w:val="baseline"/>
              <w:rPr>
                <w:rFonts w:eastAsia="Times New Roman" w:cs="Arial"/>
              </w:rPr>
            </w:pPr>
            <w:r>
              <w:lastRenderedPageBreak/>
              <w:t>[Liste déroulante]</w:t>
            </w:r>
          </w:p>
          <w:p w14:paraId="3BC59902" w14:textId="77777777" w:rsidR="003C0436" w:rsidRPr="003058F5" w:rsidRDefault="003C0436" w:rsidP="00034B6F">
            <w:pPr>
              <w:spacing w:line="276" w:lineRule="auto"/>
              <w:textAlignment w:val="baseline"/>
              <w:rPr>
                <w:rFonts w:eastAsia="Times New Roman" w:cs="Arial"/>
                <w:lang w:eastAsia="en-GB"/>
              </w:rPr>
            </w:pPr>
          </w:p>
          <w:p w14:paraId="0CCFCC31" w14:textId="77777777" w:rsidR="00034B6F" w:rsidRPr="003058F5" w:rsidRDefault="00034B6F" w:rsidP="00034B6F">
            <w:pPr>
              <w:spacing w:line="276" w:lineRule="auto"/>
              <w:textAlignment w:val="baseline"/>
              <w:rPr>
                <w:rFonts w:eastAsia="Times New Roman" w:cs="Arial"/>
              </w:rPr>
            </w:pPr>
            <w:r>
              <w:t>(1) systématiquement</w:t>
            </w:r>
          </w:p>
          <w:p w14:paraId="1AD922DC" w14:textId="7909A223" w:rsidR="00034B6F" w:rsidRPr="003058F5" w:rsidRDefault="00034B6F" w:rsidP="00034B6F">
            <w:pPr>
              <w:spacing w:line="276" w:lineRule="auto"/>
              <w:textAlignment w:val="baseline"/>
              <w:rPr>
                <w:rFonts w:eastAsia="Times New Roman" w:cs="Arial"/>
              </w:rPr>
            </w:pPr>
            <w:r>
              <w:lastRenderedPageBreak/>
              <w:t>(2) dans la plupart des cas</w:t>
            </w:r>
          </w:p>
          <w:p w14:paraId="1F808276" w14:textId="171B0819" w:rsidR="00666375" w:rsidRPr="003058F5" w:rsidRDefault="00034B6F" w:rsidP="00F15919">
            <w:pPr>
              <w:spacing w:line="276" w:lineRule="auto"/>
              <w:textAlignment w:val="baseline"/>
              <w:rPr>
                <w:rFonts w:eastAsia="Times New Roman" w:cs="Arial"/>
                <w:szCs w:val="16"/>
              </w:rPr>
            </w:pPr>
            <w:r>
              <w:t>(3) dans certains cas</w:t>
            </w:r>
          </w:p>
        </w:tc>
        <w:tc>
          <w:tcPr>
            <w:tcW w:w="1287"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03126713" w14:textId="3F8FFFD7" w:rsidR="00034B6F" w:rsidRDefault="00034B6F" w:rsidP="00034B6F">
            <w:pPr>
              <w:spacing w:line="276" w:lineRule="auto"/>
              <w:textAlignment w:val="baseline"/>
              <w:rPr>
                <w:rFonts w:eastAsia="Times New Roman" w:cs="Arial"/>
              </w:rPr>
            </w:pPr>
            <w:r>
              <w:lastRenderedPageBreak/>
              <w:t>[Liste déroulante]</w:t>
            </w:r>
          </w:p>
          <w:p w14:paraId="1256B8C5" w14:textId="77777777" w:rsidR="003C0436" w:rsidRPr="003058F5" w:rsidRDefault="003C0436" w:rsidP="00034B6F">
            <w:pPr>
              <w:spacing w:line="276" w:lineRule="auto"/>
              <w:textAlignment w:val="baseline"/>
              <w:rPr>
                <w:rFonts w:eastAsia="Times New Roman" w:cs="Arial"/>
                <w:lang w:eastAsia="en-GB"/>
              </w:rPr>
            </w:pPr>
          </w:p>
          <w:p w14:paraId="7408FC05" w14:textId="77777777" w:rsidR="00034B6F" w:rsidRPr="003058F5" w:rsidRDefault="00034B6F" w:rsidP="00034B6F">
            <w:pPr>
              <w:spacing w:line="276" w:lineRule="auto"/>
              <w:textAlignment w:val="baseline"/>
              <w:rPr>
                <w:rFonts w:eastAsia="Times New Roman" w:cs="Arial"/>
              </w:rPr>
            </w:pPr>
            <w:r>
              <w:t>(1) systématiquement</w:t>
            </w:r>
          </w:p>
          <w:p w14:paraId="17B94DE6" w14:textId="019E0C55" w:rsidR="00034B6F" w:rsidRPr="003058F5" w:rsidRDefault="00034B6F" w:rsidP="00034B6F">
            <w:pPr>
              <w:spacing w:line="276" w:lineRule="auto"/>
              <w:textAlignment w:val="baseline"/>
              <w:rPr>
                <w:rFonts w:eastAsia="Times New Roman" w:cs="Arial"/>
              </w:rPr>
            </w:pPr>
            <w:r>
              <w:lastRenderedPageBreak/>
              <w:t>(2) dans la plupart des cas</w:t>
            </w:r>
          </w:p>
          <w:p w14:paraId="201998D3" w14:textId="3AEE2155" w:rsidR="00666375" w:rsidRPr="003058F5" w:rsidRDefault="00034B6F" w:rsidP="00F15919">
            <w:pPr>
              <w:spacing w:line="276" w:lineRule="auto"/>
              <w:textAlignment w:val="baseline"/>
              <w:rPr>
                <w:rFonts w:eastAsia="Times New Roman" w:cs="Arial"/>
                <w:szCs w:val="16"/>
              </w:rPr>
            </w:pPr>
            <w:r>
              <w:t>(3) dans certains cas</w:t>
            </w:r>
          </w:p>
        </w:tc>
        <w:tc>
          <w:tcPr>
            <w:tcW w:w="128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5C819D3B" w14:textId="2DD2F7A0" w:rsidR="00034B6F" w:rsidRDefault="00034B6F" w:rsidP="00034B6F">
            <w:pPr>
              <w:spacing w:line="276" w:lineRule="auto"/>
              <w:textAlignment w:val="baseline"/>
              <w:rPr>
                <w:rFonts w:eastAsia="Times New Roman" w:cs="Arial"/>
              </w:rPr>
            </w:pPr>
            <w:r>
              <w:lastRenderedPageBreak/>
              <w:t>[Liste déroulante]</w:t>
            </w:r>
          </w:p>
          <w:p w14:paraId="11727F4F" w14:textId="77777777" w:rsidR="003C0436" w:rsidRPr="003058F5" w:rsidRDefault="003C0436" w:rsidP="00034B6F">
            <w:pPr>
              <w:spacing w:line="276" w:lineRule="auto"/>
              <w:textAlignment w:val="baseline"/>
              <w:rPr>
                <w:rFonts w:eastAsia="Times New Roman" w:cs="Arial"/>
                <w:lang w:eastAsia="en-GB"/>
              </w:rPr>
            </w:pPr>
          </w:p>
          <w:p w14:paraId="7379DB17" w14:textId="77777777" w:rsidR="00034B6F" w:rsidRPr="003058F5" w:rsidRDefault="00034B6F" w:rsidP="00034B6F">
            <w:pPr>
              <w:spacing w:line="276" w:lineRule="auto"/>
              <w:textAlignment w:val="baseline"/>
              <w:rPr>
                <w:rFonts w:eastAsia="Times New Roman" w:cs="Arial"/>
              </w:rPr>
            </w:pPr>
            <w:r>
              <w:t>(1) systématiquement</w:t>
            </w:r>
          </w:p>
          <w:p w14:paraId="24D6E875" w14:textId="274BD6D9" w:rsidR="00034B6F" w:rsidRPr="003058F5" w:rsidRDefault="00034B6F" w:rsidP="00034B6F">
            <w:pPr>
              <w:spacing w:line="276" w:lineRule="auto"/>
              <w:textAlignment w:val="baseline"/>
              <w:rPr>
                <w:rFonts w:eastAsia="Times New Roman" w:cs="Arial"/>
              </w:rPr>
            </w:pPr>
            <w:r>
              <w:lastRenderedPageBreak/>
              <w:t>(2) dans la plupart des cas</w:t>
            </w:r>
          </w:p>
          <w:p w14:paraId="110893B9" w14:textId="63A0A7F2" w:rsidR="00666375" w:rsidRPr="003058F5" w:rsidRDefault="00034B6F" w:rsidP="00F15919">
            <w:pPr>
              <w:spacing w:line="276" w:lineRule="auto"/>
              <w:textAlignment w:val="baseline"/>
              <w:rPr>
                <w:rFonts w:eastAsia="Times New Roman" w:cs="Arial"/>
                <w:szCs w:val="16"/>
              </w:rPr>
            </w:pPr>
            <w:r>
              <w:t>(3) dans certains cas</w:t>
            </w:r>
          </w:p>
        </w:tc>
        <w:tc>
          <w:tcPr>
            <w:tcW w:w="128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2557C7C8" w14:textId="07CA4FA7" w:rsidR="00034B6F" w:rsidRDefault="00034B6F" w:rsidP="00034B6F">
            <w:pPr>
              <w:spacing w:line="276" w:lineRule="auto"/>
              <w:textAlignment w:val="baseline"/>
              <w:rPr>
                <w:rFonts w:eastAsia="Times New Roman" w:cs="Arial"/>
              </w:rPr>
            </w:pPr>
            <w:r>
              <w:lastRenderedPageBreak/>
              <w:t>[Liste déroulante]</w:t>
            </w:r>
          </w:p>
          <w:p w14:paraId="775E6725" w14:textId="77777777" w:rsidR="003C0436" w:rsidRPr="003058F5" w:rsidRDefault="003C0436" w:rsidP="00034B6F">
            <w:pPr>
              <w:spacing w:line="276" w:lineRule="auto"/>
              <w:textAlignment w:val="baseline"/>
              <w:rPr>
                <w:rFonts w:eastAsia="Times New Roman" w:cs="Arial"/>
                <w:lang w:eastAsia="en-GB"/>
              </w:rPr>
            </w:pPr>
          </w:p>
          <w:p w14:paraId="33980778" w14:textId="77777777" w:rsidR="00034B6F" w:rsidRPr="003058F5" w:rsidRDefault="00034B6F" w:rsidP="00034B6F">
            <w:pPr>
              <w:spacing w:line="276" w:lineRule="auto"/>
              <w:textAlignment w:val="baseline"/>
              <w:rPr>
                <w:rFonts w:eastAsia="Times New Roman" w:cs="Arial"/>
              </w:rPr>
            </w:pPr>
            <w:r>
              <w:t>(1) systématiquement</w:t>
            </w:r>
          </w:p>
          <w:p w14:paraId="6A6348D4" w14:textId="237DFEA1" w:rsidR="00034B6F" w:rsidRPr="003058F5" w:rsidRDefault="00034B6F" w:rsidP="00034B6F">
            <w:pPr>
              <w:spacing w:line="276" w:lineRule="auto"/>
              <w:textAlignment w:val="baseline"/>
              <w:rPr>
                <w:rFonts w:eastAsia="Times New Roman" w:cs="Arial"/>
              </w:rPr>
            </w:pPr>
            <w:r>
              <w:lastRenderedPageBreak/>
              <w:t>(2) dans la plupart des cas</w:t>
            </w:r>
          </w:p>
          <w:p w14:paraId="1117D51C" w14:textId="7DEDDCBB" w:rsidR="00666375" w:rsidRPr="003058F5" w:rsidRDefault="00034B6F" w:rsidP="00F15919">
            <w:pPr>
              <w:spacing w:line="276" w:lineRule="auto"/>
              <w:textAlignment w:val="baseline"/>
              <w:rPr>
                <w:rFonts w:eastAsia="Times New Roman" w:cs="Arial"/>
                <w:szCs w:val="16"/>
              </w:rPr>
            </w:pPr>
            <w:r>
              <w:t>(3) dans certains cas</w:t>
            </w:r>
          </w:p>
        </w:tc>
        <w:tc>
          <w:tcPr>
            <w:tcW w:w="1301"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2939EB78" w14:textId="5AC8C601" w:rsidR="00034B6F" w:rsidRDefault="00034B6F" w:rsidP="00034B6F">
            <w:pPr>
              <w:spacing w:line="276" w:lineRule="auto"/>
              <w:textAlignment w:val="baseline"/>
              <w:rPr>
                <w:rFonts w:eastAsia="Times New Roman" w:cs="Arial"/>
              </w:rPr>
            </w:pPr>
            <w:r>
              <w:lastRenderedPageBreak/>
              <w:t>[Liste déroulante]</w:t>
            </w:r>
          </w:p>
          <w:p w14:paraId="6360FB76" w14:textId="77777777" w:rsidR="003C0436" w:rsidRPr="003058F5" w:rsidRDefault="003C0436" w:rsidP="00034B6F">
            <w:pPr>
              <w:spacing w:line="276" w:lineRule="auto"/>
              <w:textAlignment w:val="baseline"/>
              <w:rPr>
                <w:rFonts w:eastAsia="Times New Roman" w:cs="Arial"/>
                <w:lang w:eastAsia="en-GB"/>
              </w:rPr>
            </w:pPr>
          </w:p>
          <w:p w14:paraId="2E0B260C" w14:textId="77777777" w:rsidR="00034B6F" w:rsidRPr="003058F5" w:rsidRDefault="00034B6F" w:rsidP="00034B6F">
            <w:pPr>
              <w:spacing w:line="276" w:lineRule="auto"/>
              <w:textAlignment w:val="baseline"/>
              <w:rPr>
                <w:rFonts w:eastAsia="Times New Roman" w:cs="Arial"/>
              </w:rPr>
            </w:pPr>
            <w:r>
              <w:t>(1) systématiquement</w:t>
            </w:r>
          </w:p>
          <w:p w14:paraId="7CBF70D3" w14:textId="339E2385" w:rsidR="00034B6F" w:rsidRPr="003058F5" w:rsidRDefault="00034B6F" w:rsidP="00034B6F">
            <w:pPr>
              <w:spacing w:line="276" w:lineRule="auto"/>
              <w:textAlignment w:val="baseline"/>
              <w:rPr>
                <w:rFonts w:eastAsia="Times New Roman" w:cs="Arial"/>
              </w:rPr>
            </w:pPr>
            <w:r>
              <w:lastRenderedPageBreak/>
              <w:t>(2) dans la plupart des cas</w:t>
            </w:r>
          </w:p>
          <w:p w14:paraId="5A574FCA" w14:textId="57584005" w:rsidR="00666375" w:rsidRPr="003058F5" w:rsidRDefault="00034B6F" w:rsidP="00F15919">
            <w:pPr>
              <w:spacing w:line="276" w:lineRule="auto"/>
              <w:textAlignment w:val="baseline"/>
              <w:rPr>
                <w:rFonts w:eastAsia="Times New Roman" w:cs="Arial"/>
                <w:szCs w:val="16"/>
              </w:rPr>
            </w:pPr>
            <w:r>
              <w:t>(3) dans certains cas</w:t>
            </w:r>
          </w:p>
        </w:tc>
      </w:tr>
      <w:tr w:rsidR="00F94764" w:rsidRPr="003058F5" w14:paraId="61420FE9" w14:textId="77777777" w:rsidTr="00A966F3">
        <w:trPr>
          <w:gridAfter w:val="1"/>
          <w:wAfter w:w="8" w:type="dxa"/>
          <w:trHeight w:val="465"/>
        </w:trPr>
        <w:tc>
          <w:tcPr>
            <w:tcW w:w="3276"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4FB758C7" w14:textId="09E249D1" w:rsidR="00666375" w:rsidRPr="003058F5" w:rsidRDefault="00711D6D" w:rsidP="000C5103">
            <w:pPr>
              <w:spacing w:line="276" w:lineRule="auto"/>
              <w:textAlignment w:val="baseline"/>
              <w:rPr>
                <w:rFonts w:eastAsia="Times New Roman" w:cs="Arial"/>
                <w:szCs w:val="16"/>
              </w:rPr>
            </w:pPr>
            <w:r>
              <w:lastRenderedPageBreak/>
              <w:t>(B) Nous prenons en compte les risques et opportunités environnementaux et sociaux majeurs susceptibles d'affecter les produits et services fournis par des entreprises cotées ou des émetteurs de dette d’entreprise</w:t>
            </w:r>
          </w:p>
        </w:tc>
        <w:tc>
          <w:tcPr>
            <w:tcW w:w="1285"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177F10EA" w14:textId="4936962B" w:rsidR="00034B6F" w:rsidRPr="003058F5" w:rsidRDefault="00034B6F">
            <w:pPr>
              <w:spacing w:line="276" w:lineRule="auto"/>
              <w:textAlignment w:val="baseline"/>
              <w:rPr>
                <w:rFonts w:eastAsia="Times New Roman" w:cs="Arial"/>
                <w:szCs w:val="16"/>
              </w:rPr>
            </w:pPr>
            <w:r>
              <w:t>[Comme ci-dessus]</w:t>
            </w:r>
          </w:p>
        </w:tc>
        <w:tc>
          <w:tcPr>
            <w:tcW w:w="1287"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47D5B25E" w14:textId="4E2BC5C7" w:rsidR="00666375" w:rsidRPr="003058F5" w:rsidRDefault="00500DBA" w:rsidP="00F15919">
            <w:pPr>
              <w:spacing w:line="276" w:lineRule="auto"/>
              <w:textAlignment w:val="baseline"/>
              <w:rPr>
                <w:rFonts w:eastAsia="Times New Roman" w:cs="Arial"/>
                <w:szCs w:val="16"/>
              </w:rPr>
            </w:pPr>
            <w:r>
              <w:t>[Comme ci-dessus]</w:t>
            </w:r>
          </w:p>
        </w:tc>
        <w:tc>
          <w:tcPr>
            <w:tcW w:w="1288"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6C28A573" w14:textId="004F4FDE" w:rsidR="00666375" w:rsidRPr="003058F5" w:rsidRDefault="00500DBA" w:rsidP="00F15919">
            <w:pPr>
              <w:spacing w:line="276" w:lineRule="auto"/>
              <w:textAlignment w:val="baseline"/>
              <w:rPr>
                <w:rFonts w:eastAsia="Times New Roman" w:cs="Arial"/>
                <w:szCs w:val="16"/>
              </w:rPr>
            </w:pPr>
            <w:r>
              <w:t>[Comme ci-dessus]</w:t>
            </w:r>
          </w:p>
        </w:tc>
        <w:tc>
          <w:tcPr>
            <w:tcW w:w="129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6E601CCB" w14:textId="7DB7B2B0" w:rsidR="00666375" w:rsidRPr="003058F5" w:rsidRDefault="00500DBA" w:rsidP="00F15919">
            <w:pPr>
              <w:spacing w:line="276" w:lineRule="auto"/>
              <w:textAlignment w:val="baseline"/>
              <w:rPr>
                <w:rFonts w:eastAsia="Times New Roman" w:cs="Arial"/>
                <w:szCs w:val="16"/>
              </w:rPr>
            </w:pPr>
            <w:r>
              <w:t>[Comme ci-dessus]</w:t>
            </w:r>
          </w:p>
        </w:tc>
        <w:tc>
          <w:tcPr>
            <w:tcW w:w="128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783D86DD" w14:textId="0B4F0F3D" w:rsidR="00666375" w:rsidRPr="003058F5" w:rsidRDefault="00500DBA" w:rsidP="00F15919">
            <w:pPr>
              <w:spacing w:line="276" w:lineRule="auto"/>
              <w:textAlignment w:val="baseline"/>
              <w:rPr>
                <w:rFonts w:eastAsia="Times New Roman" w:cs="Arial"/>
                <w:szCs w:val="16"/>
              </w:rPr>
            </w:pPr>
            <w:r>
              <w:t>[Comme ci-dessus]</w:t>
            </w:r>
          </w:p>
        </w:tc>
        <w:tc>
          <w:tcPr>
            <w:tcW w:w="1287"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6B6BB482" w14:textId="73085E6A" w:rsidR="00666375" w:rsidRPr="003058F5" w:rsidRDefault="00500DBA" w:rsidP="00F15919">
            <w:pPr>
              <w:spacing w:line="276" w:lineRule="auto"/>
              <w:textAlignment w:val="baseline"/>
              <w:rPr>
                <w:rFonts w:eastAsia="Times New Roman" w:cs="Arial"/>
                <w:szCs w:val="16"/>
              </w:rPr>
            </w:pPr>
            <w:r>
              <w:t>[Comme ci-dessus]</w:t>
            </w:r>
          </w:p>
        </w:tc>
        <w:tc>
          <w:tcPr>
            <w:tcW w:w="128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1DF8D28B" w14:textId="231AFEBF" w:rsidR="00666375" w:rsidRPr="003058F5" w:rsidRDefault="00500DBA" w:rsidP="00F15919">
            <w:pPr>
              <w:spacing w:line="276" w:lineRule="auto"/>
              <w:textAlignment w:val="baseline"/>
              <w:rPr>
                <w:rFonts w:eastAsia="Times New Roman" w:cs="Arial"/>
                <w:szCs w:val="16"/>
              </w:rPr>
            </w:pPr>
            <w:r>
              <w:t>[Comme ci-dessus]</w:t>
            </w:r>
          </w:p>
        </w:tc>
        <w:tc>
          <w:tcPr>
            <w:tcW w:w="128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6DB1E6F3" w14:textId="5DABB123" w:rsidR="00666375" w:rsidRPr="003058F5" w:rsidRDefault="00500DBA" w:rsidP="00F15919">
            <w:pPr>
              <w:spacing w:line="276" w:lineRule="auto"/>
              <w:textAlignment w:val="baseline"/>
              <w:rPr>
                <w:rFonts w:eastAsia="Times New Roman" w:cs="Arial"/>
                <w:szCs w:val="16"/>
              </w:rPr>
            </w:pPr>
            <w:r>
              <w:t>[Comme ci-dessus]</w:t>
            </w:r>
          </w:p>
        </w:tc>
        <w:tc>
          <w:tcPr>
            <w:tcW w:w="1301"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5CF5EAEB" w14:textId="1EB77E0F" w:rsidR="00666375" w:rsidRPr="003058F5" w:rsidRDefault="00500DBA" w:rsidP="00F15919">
            <w:pPr>
              <w:spacing w:line="276" w:lineRule="auto"/>
              <w:textAlignment w:val="baseline"/>
              <w:rPr>
                <w:rFonts w:eastAsia="Times New Roman" w:cs="Arial"/>
                <w:szCs w:val="16"/>
              </w:rPr>
            </w:pPr>
            <w:r>
              <w:t>[Comme ci-dessus]</w:t>
            </w:r>
          </w:p>
        </w:tc>
      </w:tr>
      <w:tr w:rsidR="00F94764" w:rsidRPr="003058F5" w14:paraId="382A99C5" w14:textId="77777777" w:rsidTr="00A966F3">
        <w:trPr>
          <w:gridAfter w:val="1"/>
          <w:wAfter w:w="8" w:type="dxa"/>
          <w:trHeight w:val="465"/>
        </w:trPr>
        <w:tc>
          <w:tcPr>
            <w:tcW w:w="3276"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3E3621B7" w14:textId="006BBFF9" w:rsidR="00666375" w:rsidRPr="003058F5" w:rsidRDefault="00711D6D" w:rsidP="000C5103">
            <w:pPr>
              <w:spacing w:line="276" w:lineRule="auto"/>
              <w:textAlignment w:val="baseline"/>
              <w:rPr>
                <w:rFonts w:eastAsia="Times New Roman" w:cs="Arial"/>
                <w:szCs w:val="16"/>
              </w:rPr>
            </w:pPr>
            <w:r>
              <w:t>(C) Nous prenons en compte les risques et opportunités environnementaux et sociaux majeurs pouvant découler de la manière dont les entreprises cotées ou les émetteurs de dette d’entreprise mènent leurs activités</w:t>
            </w:r>
          </w:p>
        </w:tc>
        <w:tc>
          <w:tcPr>
            <w:tcW w:w="1285"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00014272" w14:textId="40B0619D" w:rsidR="00034B6F" w:rsidRPr="003058F5" w:rsidRDefault="00500DBA">
            <w:pPr>
              <w:spacing w:line="276" w:lineRule="auto"/>
              <w:textAlignment w:val="baseline"/>
              <w:rPr>
                <w:rFonts w:eastAsia="Times New Roman" w:cs="Arial"/>
                <w:szCs w:val="16"/>
              </w:rPr>
            </w:pPr>
            <w:r>
              <w:t>[Comme ci-dessus]</w:t>
            </w:r>
          </w:p>
        </w:tc>
        <w:tc>
          <w:tcPr>
            <w:tcW w:w="1287"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3DB84245" w14:textId="499D99AE" w:rsidR="00666375" w:rsidRPr="003058F5" w:rsidRDefault="00500DBA" w:rsidP="00F15919">
            <w:pPr>
              <w:spacing w:line="276" w:lineRule="auto"/>
              <w:textAlignment w:val="baseline"/>
              <w:rPr>
                <w:rFonts w:eastAsia="Times New Roman" w:cs="Arial"/>
                <w:szCs w:val="16"/>
              </w:rPr>
            </w:pPr>
            <w:r>
              <w:t>[Comme ci-dessus]</w:t>
            </w:r>
          </w:p>
        </w:tc>
        <w:tc>
          <w:tcPr>
            <w:tcW w:w="1288"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60D33445" w14:textId="3E1D7EC1" w:rsidR="00666375" w:rsidRPr="003058F5" w:rsidRDefault="00500DBA" w:rsidP="00F15919">
            <w:pPr>
              <w:spacing w:line="276" w:lineRule="auto"/>
              <w:textAlignment w:val="baseline"/>
              <w:rPr>
                <w:rFonts w:eastAsia="Times New Roman" w:cs="Arial"/>
                <w:szCs w:val="16"/>
              </w:rPr>
            </w:pPr>
            <w:r>
              <w:t>[Comme ci-dessus]</w:t>
            </w:r>
          </w:p>
        </w:tc>
        <w:tc>
          <w:tcPr>
            <w:tcW w:w="129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218927CA" w14:textId="0C948417" w:rsidR="00666375" w:rsidRPr="003058F5" w:rsidRDefault="00500DBA" w:rsidP="00F15919">
            <w:pPr>
              <w:spacing w:line="276" w:lineRule="auto"/>
              <w:textAlignment w:val="baseline"/>
              <w:rPr>
                <w:rFonts w:eastAsia="Times New Roman" w:cs="Arial"/>
                <w:szCs w:val="16"/>
              </w:rPr>
            </w:pPr>
            <w:r>
              <w:t>[Comme ci-dessus]</w:t>
            </w:r>
          </w:p>
        </w:tc>
        <w:tc>
          <w:tcPr>
            <w:tcW w:w="128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25C8395D" w14:textId="389C0EE4" w:rsidR="00666375" w:rsidRPr="003058F5" w:rsidRDefault="00500DBA" w:rsidP="00F15919">
            <w:pPr>
              <w:spacing w:line="276" w:lineRule="auto"/>
              <w:textAlignment w:val="baseline"/>
              <w:rPr>
                <w:rFonts w:eastAsia="Times New Roman" w:cs="Arial"/>
                <w:szCs w:val="16"/>
              </w:rPr>
            </w:pPr>
            <w:r>
              <w:t>[Comme ci-dessus]</w:t>
            </w:r>
          </w:p>
        </w:tc>
        <w:tc>
          <w:tcPr>
            <w:tcW w:w="1287"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0D4D7B7B" w14:textId="55F424EE" w:rsidR="00666375" w:rsidRPr="003058F5" w:rsidRDefault="00500DBA" w:rsidP="00F15919">
            <w:pPr>
              <w:spacing w:line="276" w:lineRule="auto"/>
              <w:textAlignment w:val="baseline"/>
              <w:rPr>
                <w:rFonts w:eastAsia="Times New Roman" w:cs="Arial"/>
                <w:szCs w:val="16"/>
              </w:rPr>
            </w:pPr>
            <w:r>
              <w:t>[Comme ci-dessus]</w:t>
            </w:r>
          </w:p>
        </w:tc>
        <w:tc>
          <w:tcPr>
            <w:tcW w:w="128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7086D73A" w14:textId="1239B214" w:rsidR="00666375" w:rsidRPr="003058F5" w:rsidRDefault="00500DBA" w:rsidP="00F15919">
            <w:pPr>
              <w:spacing w:line="276" w:lineRule="auto"/>
              <w:textAlignment w:val="baseline"/>
              <w:rPr>
                <w:rFonts w:eastAsia="Times New Roman" w:cs="Arial"/>
                <w:szCs w:val="16"/>
              </w:rPr>
            </w:pPr>
            <w:r>
              <w:t>[Comme ci-dessus]</w:t>
            </w:r>
          </w:p>
        </w:tc>
        <w:tc>
          <w:tcPr>
            <w:tcW w:w="128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7FFBB916" w14:textId="4A716728" w:rsidR="00666375" w:rsidRPr="003058F5" w:rsidRDefault="00500DBA" w:rsidP="00F15919">
            <w:pPr>
              <w:spacing w:line="276" w:lineRule="auto"/>
              <w:textAlignment w:val="baseline"/>
              <w:rPr>
                <w:rFonts w:eastAsia="Times New Roman" w:cs="Arial"/>
                <w:szCs w:val="16"/>
              </w:rPr>
            </w:pPr>
            <w:r>
              <w:t>[Comme ci-dessus]</w:t>
            </w:r>
          </w:p>
        </w:tc>
        <w:tc>
          <w:tcPr>
            <w:tcW w:w="1301"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76F88C48" w14:textId="7B8F44B7" w:rsidR="00666375" w:rsidRPr="003058F5" w:rsidRDefault="00500DBA" w:rsidP="00F15919">
            <w:pPr>
              <w:spacing w:line="276" w:lineRule="auto"/>
              <w:textAlignment w:val="baseline"/>
              <w:rPr>
                <w:rFonts w:eastAsia="Times New Roman" w:cs="Arial"/>
                <w:szCs w:val="16"/>
              </w:rPr>
            </w:pPr>
            <w:r>
              <w:t>[Comme ci-dessus]</w:t>
            </w:r>
          </w:p>
        </w:tc>
      </w:tr>
      <w:tr w:rsidR="00F94764" w:rsidRPr="003058F5" w14:paraId="4307D7C2" w14:textId="77777777" w:rsidTr="00A966F3">
        <w:trPr>
          <w:gridAfter w:val="1"/>
          <w:wAfter w:w="8" w:type="dxa"/>
          <w:trHeight w:val="465"/>
        </w:trPr>
        <w:tc>
          <w:tcPr>
            <w:tcW w:w="3276"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0895AAF8" w14:textId="7DE2077E" w:rsidR="00666375" w:rsidRPr="003058F5" w:rsidRDefault="00711D6D" w:rsidP="000C5103">
            <w:pPr>
              <w:spacing w:line="276" w:lineRule="auto"/>
              <w:textAlignment w:val="baseline"/>
              <w:rPr>
                <w:rFonts w:eastAsia="Times New Roman" w:cs="Arial"/>
                <w:szCs w:val="16"/>
              </w:rPr>
            </w:pPr>
            <w:r>
              <w:t>(D) Nous prenons en compte les risques et opportunités environnementaux et sociaux majeurs liés à la chaîne d'approvisionnement d'une entreprise cotée ou d'un émetteur de dette d’entreprise</w:t>
            </w:r>
          </w:p>
        </w:tc>
        <w:tc>
          <w:tcPr>
            <w:tcW w:w="1285"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70A3FBA8" w14:textId="6346681B" w:rsidR="00034B6F" w:rsidRPr="003058F5" w:rsidRDefault="00500DBA">
            <w:pPr>
              <w:spacing w:line="276" w:lineRule="auto"/>
              <w:textAlignment w:val="baseline"/>
              <w:rPr>
                <w:rFonts w:eastAsia="Times New Roman" w:cs="Arial"/>
                <w:szCs w:val="16"/>
              </w:rPr>
            </w:pPr>
            <w:r>
              <w:t>[Comme ci-dessus]</w:t>
            </w:r>
          </w:p>
        </w:tc>
        <w:tc>
          <w:tcPr>
            <w:tcW w:w="1287"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70CCABA1" w14:textId="1F14AD0D" w:rsidR="00666375" w:rsidRPr="003058F5" w:rsidRDefault="00500DBA" w:rsidP="00F15919">
            <w:pPr>
              <w:spacing w:line="276" w:lineRule="auto"/>
              <w:textAlignment w:val="baseline"/>
              <w:rPr>
                <w:rFonts w:eastAsia="Times New Roman" w:cs="Arial"/>
                <w:szCs w:val="16"/>
              </w:rPr>
            </w:pPr>
            <w:r>
              <w:t>[Comme ci-dessus]</w:t>
            </w:r>
          </w:p>
        </w:tc>
        <w:tc>
          <w:tcPr>
            <w:tcW w:w="1288"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76E140E3" w14:textId="773F8C02" w:rsidR="00666375" w:rsidRPr="003058F5" w:rsidRDefault="00500DBA" w:rsidP="00F15919">
            <w:pPr>
              <w:spacing w:line="276" w:lineRule="auto"/>
              <w:textAlignment w:val="baseline"/>
              <w:rPr>
                <w:rFonts w:eastAsia="Times New Roman" w:cs="Arial"/>
                <w:szCs w:val="16"/>
              </w:rPr>
            </w:pPr>
            <w:r>
              <w:t>[Comme ci-dessus]</w:t>
            </w:r>
          </w:p>
        </w:tc>
        <w:tc>
          <w:tcPr>
            <w:tcW w:w="129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3A8338FB" w14:textId="5BEB2315" w:rsidR="00666375" w:rsidRPr="003058F5" w:rsidRDefault="00500DBA" w:rsidP="00F15919">
            <w:pPr>
              <w:spacing w:line="276" w:lineRule="auto"/>
              <w:textAlignment w:val="baseline"/>
              <w:rPr>
                <w:rFonts w:eastAsia="Times New Roman" w:cs="Arial"/>
                <w:szCs w:val="16"/>
              </w:rPr>
            </w:pPr>
            <w:r>
              <w:t>[Comme ci-dessus]</w:t>
            </w:r>
          </w:p>
        </w:tc>
        <w:tc>
          <w:tcPr>
            <w:tcW w:w="128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572DBA0B" w14:textId="66ADCE4B" w:rsidR="00666375" w:rsidRPr="003058F5" w:rsidRDefault="00500DBA" w:rsidP="00F15919">
            <w:pPr>
              <w:spacing w:line="276" w:lineRule="auto"/>
              <w:textAlignment w:val="baseline"/>
              <w:rPr>
                <w:rFonts w:eastAsia="Times New Roman" w:cs="Arial"/>
                <w:szCs w:val="16"/>
              </w:rPr>
            </w:pPr>
            <w:r>
              <w:t>[Comme ci-dessus]</w:t>
            </w:r>
          </w:p>
        </w:tc>
        <w:tc>
          <w:tcPr>
            <w:tcW w:w="1287"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10470F11" w14:textId="34D00224" w:rsidR="00666375" w:rsidRPr="003058F5" w:rsidRDefault="00500DBA" w:rsidP="00F15919">
            <w:pPr>
              <w:spacing w:line="276" w:lineRule="auto"/>
              <w:textAlignment w:val="baseline"/>
              <w:rPr>
                <w:rFonts w:eastAsia="Times New Roman" w:cs="Arial"/>
                <w:szCs w:val="16"/>
              </w:rPr>
            </w:pPr>
            <w:r>
              <w:t>[Comme ci-dessus]</w:t>
            </w:r>
          </w:p>
        </w:tc>
        <w:tc>
          <w:tcPr>
            <w:tcW w:w="128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1119B534" w14:textId="2AEEF253" w:rsidR="00666375" w:rsidRPr="003058F5" w:rsidRDefault="00500DBA" w:rsidP="00F15919">
            <w:pPr>
              <w:spacing w:line="276" w:lineRule="auto"/>
              <w:textAlignment w:val="baseline"/>
              <w:rPr>
                <w:rFonts w:eastAsia="Times New Roman" w:cs="Arial"/>
                <w:szCs w:val="16"/>
              </w:rPr>
            </w:pPr>
            <w:r>
              <w:t>[Comme ci-dessus]</w:t>
            </w:r>
          </w:p>
        </w:tc>
        <w:tc>
          <w:tcPr>
            <w:tcW w:w="128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22493DF2" w14:textId="2BD32C6D" w:rsidR="00666375" w:rsidRPr="003058F5" w:rsidRDefault="00500DBA" w:rsidP="00F15919">
            <w:pPr>
              <w:spacing w:line="276" w:lineRule="auto"/>
              <w:textAlignment w:val="baseline"/>
              <w:rPr>
                <w:rFonts w:eastAsia="Times New Roman" w:cs="Arial"/>
                <w:szCs w:val="16"/>
              </w:rPr>
            </w:pPr>
            <w:r>
              <w:t>[Comme ci-dessus]</w:t>
            </w:r>
          </w:p>
        </w:tc>
        <w:tc>
          <w:tcPr>
            <w:tcW w:w="1301"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6EDA2D46" w14:textId="5F5C1601" w:rsidR="00666375" w:rsidRPr="003058F5" w:rsidRDefault="00500DBA" w:rsidP="00F15919">
            <w:pPr>
              <w:spacing w:line="276" w:lineRule="auto"/>
              <w:textAlignment w:val="baseline"/>
              <w:rPr>
                <w:rFonts w:eastAsia="Times New Roman" w:cs="Arial"/>
                <w:szCs w:val="16"/>
              </w:rPr>
            </w:pPr>
            <w:r>
              <w:t>[Comme ci-dessus]</w:t>
            </w:r>
          </w:p>
        </w:tc>
      </w:tr>
      <w:tr w:rsidR="00F94764" w:rsidRPr="003058F5" w14:paraId="6F67910E" w14:textId="77777777" w:rsidTr="00A966F3">
        <w:trPr>
          <w:gridAfter w:val="1"/>
          <w:wAfter w:w="8" w:type="dxa"/>
          <w:trHeight w:val="465"/>
        </w:trPr>
        <w:tc>
          <w:tcPr>
            <w:tcW w:w="3276"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6441F7C1" w14:textId="43A99FEC" w:rsidR="00D7571A" w:rsidRPr="003058F5" w:rsidRDefault="00D7571A" w:rsidP="00D7571A">
            <w:pPr>
              <w:spacing w:line="276" w:lineRule="auto"/>
              <w:textAlignment w:val="baseline"/>
              <w:rPr>
                <w:rFonts w:eastAsia="Times New Roman" w:cs="Arial"/>
                <w:szCs w:val="16"/>
              </w:rPr>
            </w:pPr>
            <w:r>
              <w:t xml:space="preserve">(E) Autres </w:t>
            </w:r>
          </w:p>
          <w:p w14:paraId="125EF3C6" w14:textId="27070058" w:rsidR="00D7571A" w:rsidRPr="003058F5" w:rsidRDefault="00393227" w:rsidP="00D7571A">
            <w:pPr>
              <w:spacing w:line="276" w:lineRule="auto"/>
              <w:textAlignment w:val="baseline"/>
              <w:rPr>
                <w:rFonts w:eastAsia="Times New Roman" w:cs="Arial"/>
                <w:szCs w:val="16"/>
              </w:rPr>
            </w:pPr>
            <w:r>
              <w:lastRenderedPageBreak/>
              <w:t>Veuillez préciser</w:t>
            </w:r>
            <w:r w:rsidR="00767929">
              <w:t> :</w:t>
            </w:r>
            <w:r>
              <w:t xml:space="preserve"> ____ [Texte libre obligatoire</w:t>
            </w:r>
            <w:r w:rsidR="00767929">
              <w:t> :</w:t>
            </w:r>
            <w:r>
              <w:t xml:space="preserve"> court]</w:t>
            </w:r>
          </w:p>
        </w:tc>
        <w:tc>
          <w:tcPr>
            <w:tcW w:w="1285"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12911F3D" w14:textId="57BE1657" w:rsidR="00034B6F" w:rsidRPr="003058F5" w:rsidRDefault="00500DBA">
            <w:pPr>
              <w:spacing w:line="276" w:lineRule="auto"/>
              <w:textAlignment w:val="baseline"/>
              <w:rPr>
                <w:rFonts w:eastAsia="Times New Roman" w:cs="Arial"/>
                <w:szCs w:val="16"/>
              </w:rPr>
            </w:pPr>
            <w:r>
              <w:lastRenderedPageBreak/>
              <w:t>[Comme ci-dessus]</w:t>
            </w:r>
          </w:p>
        </w:tc>
        <w:tc>
          <w:tcPr>
            <w:tcW w:w="1287"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5FBAB34B" w14:textId="326BEA36" w:rsidR="00D7571A" w:rsidRPr="003058F5" w:rsidRDefault="00500DBA" w:rsidP="00F15919">
            <w:pPr>
              <w:spacing w:line="276" w:lineRule="auto"/>
              <w:textAlignment w:val="baseline"/>
              <w:rPr>
                <w:rFonts w:eastAsia="Times New Roman" w:cs="Arial"/>
                <w:szCs w:val="16"/>
              </w:rPr>
            </w:pPr>
            <w:r>
              <w:t>[Comme ci-dessus]</w:t>
            </w:r>
          </w:p>
        </w:tc>
        <w:tc>
          <w:tcPr>
            <w:tcW w:w="1288"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187D1F36" w14:textId="7104F4F4" w:rsidR="00D7571A" w:rsidRPr="003058F5" w:rsidRDefault="00500DBA" w:rsidP="00F15919">
            <w:pPr>
              <w:spacing w:line="276" w:lineRule="auto"/>
              <w:textAlignment w:val="baseline"/>
              <w:rPr>
                <w:rFonts w:eastAsia="Times New Roman" w:cs="Arial"/>
                <w:szCs w:val="16"/>
              </w:rPr>
            </w:pPr>
            <w:r>
              <w:t>[Comme ci-dessus]</w:t>
            </w:r>
          </w:p>
        </w:tc>
        <w:tc>
          <w:tcPr>
            <w:tcW w:w="129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132321BA" w14:textId="66361E96" w:rsidR="00D7571A" w:rsidRPr="003058F5" w:rsidRDefault="00500DBA" w:rsidP="00F15919">
            <w:pPr>
              <w:spacing w:line="276" w:lineRule="auto"/>
              <w:textAlignment w:val="baseline"/>
              <w:rPr>
                <w:rFonts w:eastAsia="Times New Roman" w:cs="Arial"/>
                <w:szCs w:val="16"/>
              </w:rPr>
            </w:pPr>
            <w:r>
              <w:t>[Comme ci-dessus]</w:t>
            </w:r>
          </w:p>
        </w:tc>
        <w:tc>
          <w:tcPr>
            <w:tcW w:w="128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45D19E82" w14:textId="45405AB3" w:rsidR="00D7571A" w:rsidRPr="003058F5" w:rsidRDefault="00500DBA" w:rsidP="00F15919">
            <w:pPr>
              <w:spacing w:line="276" w:lineRule="auto"/>
              <w:textAlignment w:val="baseline"/>
              <w:rPr>
                <w:rFonts w:eastAsia="Times New Roman" w:cs="Arial"/>
                <w:szCs w:val="16"/>
              </w:rPr>
            </w:pPr>
            <w:r>
              <w:t>[Comme ci-dessus]</w:t>
            </w:r>
          </w:p>
        </w:tc>
        <w:tc>
          <w:tcPr>
            <w:tcW w:w="1287"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15BAB513" w14:textId="50E468AE" w:rsidR="00D7571A" w:rsidRPr="003058F5" w:rsidRDefault="00500DBA" w:rsidP="00F15919">
            <w:pPr>
              <w:spacing w:line="276" w:lineRule="auto"/>
              <w:textAlignment w:val="baseline"/>
              <w:rPr>
                <w:rFonts w:eastAsia="Times New Roman" w:cs="Arial"/>
                <w:szCs w:val="16"/>
              </w:rPr>
            </w:pPr>
            <w:r>
              <w:t>[Comme ci-dessus]</w:t>
            </w:r>
          </w:p>
        </w:tc>
        <w:tc>
          <w:tcPr>
            <w:tcW w:w="128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36C15732" w14:textId="6590CB60" w:rsidR="00D7571A" w:rsidRPr="003058F5" w:rsidRDefault="00500DBA" w:rsidP="00F15919">
            <w:pPr>
              <w:spacing w:line="276" w:lineRule="auto"/>
              <w:textAlignment w:val="baseline"/>
              <w:rPr>
                <w:rFonts w:eastAsia="Times New Roman" w:cs="Arial"/>
                <w:szCs w:val="16"/>
              </w:rPr>
            </w:pPr>
            <w:r>
              <w:t>[Comme ci-dessus]</w:t>
            </w:r>
          </w:p>
        </w:tc>
        <w:tc>
          <w:tcPr>
            <w:tcW w:w="128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323AE2F8" w14:textId="7ED71EDA" w:rsidR="00D7571A" w:rsidRPr="003058F5" w:rsidRDefault="00500DBA" w:rsidP="00F15919">
            <w:pPr>
              <w:spacing w:line="276" w:lineRule="auto"/>
              <w:textAlignment w:val="baseline"/>
              <w:rPr>
                <w:rFonts w:eastAsia="Times New Roman" w:cs="Arial"/>
                <w:szCs w:val="16"/>
              </w:rPr>
            </w:pPr>
            <w:r>
              <w:t>[Comme ci-dessus]</w:t>
            </w:r>
          </w:p>
        </w:tc>
        <w:tc>
          <w:tcPr>
            <w:tcW w:w="1301"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18221AB7" w14:textId="1DC79080" w:rsidR="00D7571A" w:rsidRPr="003058F5" w:rsidRDefault="00500DBA" w:rsidP="00F15919">
            <w:pPr>
              <w:spacing w:line="276" w:lineRule="auto"/>
              <w:textAlignment w:val="baseline"/>
              <w:rPr>
                <w:rFonts w:eastAsia="Times New Roman" w:cs="Arial"/>
                <w:szCs w:val="16"/>
              </w:rPr>
            </w:pPr>
            <w:r>
              <w:t>[Comme ci-dessus]</w:t>
            </w:r>
          </w:p>
        </w:tc>
      </w:tr>
      <w:tr w:rsidR="00F94764" w:rsidRPr="003058F5" w14:paraId="350431EB" w14:textId="77777777" w:rsidTr="00A966F3">
        <w:trPr>
          <w:gridAfter w:val="1"/>
          <w:wAfter w:w="8" w:type="dxa"/>
          <w:trHeight w:val="465"/>
        </w:trPr>
        <w:tc>
          <w:tcPr>
            <w:tcW w:w="3276"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5623DB23" w14:textId="608639D9" w:rsidR="00D7571A" w:rsidRPr="003058F5" w:rsidRDefault="00D7571A" w:rsidP="00D7571A">
            <w:pPr>
              <w:spacing w:line="276" w:lineRule="auto"/>
              <w:textAlignment w:val="baseline"/>
              <w:rPr>
                <w:rFonts w:eastAsia="Times New Roman" w:cs="Arial"/>
                <w:szCs w:val="16"/>
              </w:rPr>
            </w:pPr>
            <w:r>
              <w:t>(F) Notre recherche en matière d'investissement ne prend pas en compte les risques et opportunités ESG majeurs dans la sélection des sociétés cotées ou des émetteurs de dette d'entreprise</w:t>
            </w:r>
          </w:p>
        </w:tc>
        <w:tc>
          <w:tcPr>
            <w:tcW w:w="1285"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0CA19593" w14:textId="77777777" w:rsidR="00034B6F" w:rsidRPr="003058F5" w:rsidRDefault="00034B6F" w:rsidP="00034B6F">
            <w:pPr>
              <w:pStyle w:val="Paragraphedeliste"/>
              <w:numPr>
                <w:ilvl w:val="0"/>
                <w:numId w:val="83"/>
              </w:numPr>
              <w:spacing w:line="276" w:lineRule="auto"/>
              <w:jc w:val="center"/>
              <w:textAlignment w:val="baseline"/>
              <w:rPr>
                <w:rFonts w:eastAsia="Times New Roman" w:cs="Arial"/>
                <w:szCs w:val="16"/>
                <w:lang w:eastAsia="en-GB"/>
              </w:rPr>
            </w:pPr>
          </w:p>
        </w:tc>
        <w:tc>
          <w:tcPr>
            <w:tcW w:w="1287"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389ABC9C" w14:textId="09AB5326" w:rsidR="00D7571A" w:rsidRPr="003058F5" w:rsidRDefault="00D7571A" w:rsidP="00F15919">
            <w:pPr>
              <w:pStyle w:val="Paragraphedeliste"/>
              <w:numPr>
                <w:ilvl w:val="0"/>
                <w:numId w:val="83"/>
              </w:numPr>
              <w:spacing w:line="276" w:lineRule="auto"/>
              <w:jc w:val="center"/>
              <w:textAlignment w:val="baseline"/>
              <w:rPr>
                <w:rFonts w:eastAsia="Times New Roman" w:cs="Arial"/>
                <w:szCs w:val="16"/>
                <w:lang w:eastAsia="en-GB"/>
              </w:rPr>
            </w:pPr>
          </w:p>
        </w:tc>
        <w:tc>
          <w:tcPr>
            <w:tcW w:w="1288"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23427FEB" w14:textId="77777777" w:rsidR="00D7571A" w:rsidRPr="003058F5" w:rsidRDefault="00D7571A" w:rsidP="00F15919">
            <w:pPr>
              <w:pStyle w:val="Paragraphedeliste"/>
              <w:numPr>
                <w:ilvl w:val="0"/>
                <w:numId w:val="83"/>
              </w:numPr>
              <w:spacing w:line="276" w:lineRule="auto"/>
              <w:jc w:val="center"/>
              <w:textAlignment w:val="baseline"/>
              <w:rPr>
                <w:rFonts w:eastAsia="Times New Roman" w:cs="Arial"/>
                <w:szCs w:val="16"/>
                <w:lang w:eastAsia="en-GB"/>
              </w:rPr>
            </w:pPr>
          </w:p>
        </w:tc>
        <w:tc>
          <w:tcPr>
            <w:tcW w:w="129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49322CA4" w14:textId="77777777" w:rsidR="00D7571A" w:rsidRPr="003058F5" w:rsidRDefault="00D7571A" w:rsidP="00F15919">
            <w:pPr>
              <w:pStyle w:val="Paragraphedeliste"/>
              <w:numPr>
                <w:ilvl w:val="0"/>
                <w:numId w:val="83"/>
              </w:numPr>
              <w:spacing w:line="276" w:lineRule="auto"/>
              <w:jc w:val="center"/>
              <w:textAlignment w:val="baseline"/>
              <w:rPr>
                <w:rFonts w:eastAsia="Times New Roman" w:cs="Arial"/>
                <w:szCs w:val="16"/>
                <w:lang w:eastAsia="en-GB"/>
              </w:rPr>
            </w:pPr>
          </w:p>
        </w:tc>
        <w:tc>
          <w:tcPr>
            <w:tcW w:w="128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24E77A5A" w14:textId="77777777" w:rsidR="00D7571A" w:rsidRPr="003058F5" w:rsidRDefault="00D7571A" w:rsidP="00F15919">
            <w:pPr>
              <w:pStyle w:val="Paragraphedeliste"/>
              <w:numPr>
                <w:ilvl w:val="0"/>
                <w:numId w:val="83"/>
              </w:numPr>
              <w:spacing w:line="276" w:lineRule="auto"/>
              <w:jc w:val="center"/>
              <w:textAlignment w:val="baseline"/>
              <w:rPr>
                <w:rFonts w:eastAsia="Times New Roman" w:cs="Arial"/>
                <w:szCs w:val="16"/>
                <w:lang w:eastAsia="en-GB"/>
              </w:rPr>
            </w:pPr>
          </w:p>
        </w:tc>
        <w:tc>
          <w:tcPr>
            <w:tcW w:w="1287"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5F4DA250" w14:textId="77777777" w:rsidR="00D7571A" w:rsidRPr="003058F5" w:rsidRDefault="00D7571A" w:rsidP="00F15919">
            <w:pPr>
              <w:pStyle w:val="Paragraphedeliste"/>
              <w:numPr>
                <w:ilvl w:val="0"/>
                <w:numId w:val="83"/>
              </w:numPr>
              <w:spacing w:line="276" w:lineRule="auto"/>
              <w:jc w:val="center"/>
              <w:textAlignment w:val="baseline"/>
              <w:rPr>
                <w:rFonts w:eastAsia="Times New Roman" w:cs="Arial"/>
                <w:szCs w:val="16"/>
                <w:lang w:eastAsia="en-GB"/>
              </w:rPr>
            </w:pPr>
          </w:p>
        </w:tc>
        <w:tc>
          <w:tcPr>
            <w:tcW w:w="128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4058CC2D" w14:textId="77777777" w:rsidR="00D7571A" w:rsidRPr="003058F5" w:rsidRDefault="00D7571A" w:rsidP="00F15919">
            <w:pPr>
              <w:pStyle w:val="Paragraphedeliste"/>
              <w:numPr>
                <w:ilvl w:val="0"/>
                <w:numId w:val="83"/>
              </w:numPr>
              <w:spacing w:line="276" w:lineRule="auto"/>
              <w:jc w:val="center"/>
              <w:textAlignment w:val="baseline"/>
              <w:rPr>
                <w:rFonts w:eastAsia="Times New Roman" w:cs="Arial"/>
                <w:szCs w:val="16"/>
                <w:lang w:eastAsia="en-GB"/>
              </w:rPr>
            </w:pPr>
          </w:p>
        </w:tc>
        <w:tc>
          <w:tcPr>
            <w:tcW w:w="128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299DB084" w14:textId="77777777" w:rsidR="00D7571A" w:rsidRPr="003058F5" w:rsidRDefault="00D7571A" w:rsidP="00F15919">
            <w:pPr>
              <w:pStyle w:val="Paragraphedeliste"/>
              <w:numPr>
                <w:ilvl w:val="0"/>
                <w:numId w:val="83"/>
              </w:numPr>
              <w:spacing w:line="276" w:lineRule="auto"/>
              <w:jc w:val="center"/>
              <w:textAlignment w:val="baseline"/>
              <w:rPr>
                <w:rFonts w:eastAsia="Times New Roman" w:cs="Arial"/>
                <w:szCs w:val="16"/>
                <w:lang w:eastAsia="en-GB"/>
              </w:rPr>
            </w:pPr>
          </w:p>
        </w:tc>
        <w:tc>
          <w:tcPr>
            <w:tcW w:w="1301"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21898D73" w14:textId="77777777" w:rsidR="00D7571A" w:rsidRPr="003058F5" w:rsidRDefault="00D7571A" w:rsidP="00F15919">
            <w:pPr>
              <w:pStyle w:val="Paragraphedeliste"/>
              <w:numPr>
                <w:ilvl w:val="0"/>
                <w:numId w:val="83"/>
              </w:numPr>
              <w:spacing w:line="276" w:lineRule="auto"/>
              <w:jc w:val="center"/>
              <w:textAlignment w:val="baseline"/>
              <w:rPr>
                <w:rFonts w:eastAsia="Times New Roman" w:cs="Arial"/>
                <w:szCs w:val="16"/>
                <w:lang w:eastAsia="en-GB"/>
              </w:rPr>
            </w:pPr>
          </w:p>
        </w:tc>
      </w:tr>
      <w:tr w:rsidR="00F94764" w:rsidRPr="003058F5" w14:paraId="4FC349AB" w14:textId="77777777" w:rsidTr="00A966F3">
        <w:trPr>
          <w:gridAfter w:val="1"/>
          <w:wAfter w:w="8" w:type="dxa"/>
          <w:trHeight w:val="465"/>
        </w:trPr>
        <w:tc>
          <w:tcPr>
            <w:tcW w:w="3276"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011E02BE" w14:textId="52A4FCC5" w:rsidR="00D7571A" w:rsidRPr="003058F5" w:rsidRDefault="00D7571A" w:rsidP="00D7571A">
            <w:pPr>
              <w:spacing w:line="276" w:lineRule="auto"/>
              <w:textAlignment w:val="baseline"/>
            </w:pPr>
            <w:r>
              <w:t>(G) Sans objet</w:t>
            </w:r>
            <w:r w:rsidR="00767929">
              <w:t> ;</w:t>
            </w:r>
            <w:r>
              <w:t xml:space="preserve"> notre stratégie n'investit pas directement dans des sociétés cotées ou des émetteurs de dette d'entreprise</w:t>
            </w:r>
          </w:p>
        </w:tc>
        <w:tc>
          <w:tcPr>
            <w:tcW w:w="1285"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2E825A3C" w14:textId="77777777" w:rsidR="00034B6F" w:rsidRPr="003058F5" w:rsidRDefault="00034B6F" w:rsidP="00034B6F">
            <w:pPr>
              <w:pStyle w:val="Paragraphedeliste"/>
              <w:numPr>
                <w:ilvl w:val="0"/>
                <w:numId w:val="22"/>
              </w:numPr>
              <w:spacing w:line="276" w:lineRule="auto"/>
              <w:jc w:val="center"/>
              <w:textAlignment w:val="baseline"/>
              <w:rPr>
                <w:rFonts w:eastAsia="Times New Roman" w:cs="Arial"/>
                <w:sz w:val="22"/>
                <w:szCs w:val="16"/>
                <w:lang w:eastAsia="en-GB"/>
              </w:rPr>
            </w:pPr>
          </w:p>
        </w:tc>
        <w:tc>
          <w:tcPr>
            <w:tcW w:w="1287"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775BF209" w14:textId="28826C52" w:rsidR="00D7571A" w:rsidRPr="003058F5" w:rsidRDefault="00D7571A" w:rsidP="00D7571A">
            <w:pPr>
              <w:pStyle w:val="Paragraphedeliste"/>
              <w:numPr>
                <w:ilvl w:val="0"/>
                <w:numId w:val="22"/>
              </w:numPr>
              <w:spacing w:line="276" w:lineRule="auto"/>
              <w:jc w:val="center"/>
              <w:textAlignment w:val="baseline"/>
              <w:rPr>
                <w:rFonts w:eastAsia="Times New Roman" w:cs="Arial"/>
                <w:sz w:val="22"/>
                <w:szCs w:val="16"/>
                <w:lang w:eastAsia="en-GB"/>
              </w:rPr>
            </w:pPr>
          </w:p>
        </w:tc>
        <w:tc>
          <w:tcPr>
            <w:tcW w:w="1288"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1D613A42" w14:textId="77777777" w:rsidR="00D7571A" w:rsidRPr="003058F5" w:rsidRDefault="00D7571A" w:rsidP="00D7571A">
            <w:pPr>
              <w:pStyle w:val="Paragraphedeliste"/>
              <w:numPr>
                <w:ilvl w:val="0"/>
                <w:numId w:val="22"/>
              </w:numPr>
              <w:spacing w:line="276" w:lineRule="auto"/>
              <w:jc w:val="center"/>
              <w:textAlignment w:val="baseline"/>
              <w:rPr>
                <w:rFonts w:eastAsia="Times New Roman" w:cs="Arial"/>
                <w:sz w:val="22"/>
                <w:szCs w:val="16"/>
                <w:lang w:eastAsia="en-GB"/>
              </w:rPr>
            </w:pPr>
          </w:p>
        </w:tc>
        <w:tc>
          <w:tcPr>
            <w:tcW w:w="129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3604C613" w14:textId="77777777" w:rsidR="00D7571A" w:rsidRPr="003058F5" w:rsidRDefault="00D7571A" w:rsidP="00D7571A">
            <w:pPr>
              <w:pStyle w:val="Paragraphedeliste"/>
              <w:numPr>
                <w:ilvl w:val="0"/>
                <w:numId w:val="22"/>
              </w:numPr>
              <w:spacing w:line="276" w:lineRule="auto"/>
              <w:jc w:val="center"/>
              <w:textAlignment w:val="baseline"/>
              <w:rPr>
                <w:rFonts w:eastAsia="Times New Roman" w:cs="Arial"/>
                <w:sz w:val="22"/>
                <w:szCs w:val="16"/>
                <w:lang w:eastAsia="en-GB"/>
              </w:rPr>
            </w:pPr>
          </w:p>
        </w:tc>
        <w:tc>
          <w:tcPr>
            <w:tcW w:w="128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702FA768" w14:textId="77777777" w:rsidR="00D7571A" w:rsidRPr="003058F5" w:rsidRDefault="00D7571A" w:rsidP="00D7571A">
            <w:pPr>
              <w:pStyle w:val="Paragraphedeliste"/>
              <w:numPr>
                <w:ilvl w:val="0"/>
                <w:numId w:val="22"/>
              </w:numPr>
              <w:spacing w:line="276" w:lineRule="auto"/>
              <w:jc w:val="center"/>
              <w:textAlignment w:val="baseline"/>
              <w:rPr>
                <w:rFonts w:eastAsia="Times New Roman" w:cs="Arial"/>
                <w:sz w:val="22"/>
                <w:szCs w:val="16"/>
                <w:lang w:eastAsia="en-GB"/>
              </w:rPr>
            </w:pPr>
          </w:p>
        </w:tc>
        <w:tc>
          <w:tcPr>
            <w:tcW w:w="1287"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6F363F2F" w14:textId="77777777" w:rsidR="00D7571A" w:rsidRPr="003058F5" w:rsidRDefault="00D7571A" w:rsidP="00D7571A">
            <w:pPr>
              <w:pStyle w:val="Paragraphedeliste"/>
              <w:numPr>
                <w:ilvl w:val="0"/>
                <w:numId w:val="22"/>
              </w:numPr>
              <w:spacing w:line="276" w:lineRule="auto"/>
              <w:jc w:val="center"/>
              <w:textAlignment w:val="baseline"/>
              <w:rPr>
                <w:rFonts w:eastAsia="Times New Roman" w:cs="Arial"/>
                <w:sz w:val="22"/>
                <w:szCs w:val="16"/>
                <w:lang w:eastAsia="en-GB"/>
              </w:rPr>
            </w:pPr>
          </w:p>
        </w:tc>
        <w:tc>
          <w:tcPr>
            <w:tcW w:w="128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0F22D867" w14:textId="77777777" w:rsidR="00D7571A" w:rsidRPr="003058F5" w:rsidRDefault="00D7571A" w:rsidP="00D7571A">
            <w:pPr>
              <w:pStyle w:val="Paragraphedeliste"/>
              <w:numPr>
                <w:ilvl w:val="0"/>
                <w:numId w:val="22"/>
              </w:numPr>
              <w:spacing w:line="276" w:lineRule="auto"/>
              <w:jc w:val="center"/>
              <w:textAlignment w:val="baseline"/>
              <w:rPr>
                <w:rFonts w:eastAsia="Times New Roman" w:cs="Arial"/>
                <w:sz w:val="22"/>
                <w:szCs w:val="16"/>
                <w:lang w:eastAsia="en-GB"/>
              </w:rPr>
            </w:pPr>
          </w:p>
        </w:tc>
        <w:tc>
          <w:tcPr>
            <w:tcW w:w="128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46D4914E" w14:textId="77777777" w:rsidR="00D7571A" w:rsidRPr="003058F5" w:rsidRDefault="00D7571A" w:rsidP="00D7571A">
            <w:pPr>
              <w:pStyle w:val="Paragraphedeliste"/>
              <w:numPr>
                <w:ilvl w:val="0"/>
                <w:numId w:val="22"/>
              </w:numPr>
              <w:spacing w:line="276" w:lineRule="auto"/>
              <w:jc w:val="center"/>
              <w:textAlignment w:val="baseline"/>
              <w:rPr>
                <w:rFonts w:eastAsia="Times New Roman" w:cs="Arial"/>
                <w:sz w:val="22"/>
                <w:szCs w:val="16"/>
                <w:lang w:eastAsia="en-GB"/>
              </w:rPr>
            </w:pPr>
          </w:p>
        </w:tc>
        <w:tc>
          <w:tcPr>
            <w:tcW w:w="1301"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63D7256A" w14:textId="77777777" w:rsidR="00D7571A" w:rsidRPr="003058F5" w:rsidRDefault="00D7571A" w:rsidP="00D7571A">
            <w:pPr>
              <w:pStyle w:val="Paragraphedeliste"/>
              <w:numPr>
                <w:ilvl w:val="0"/>
                <w:numId w:val="22"/>
              </w:numPr>
              <w:spacing w:line="276" w:lineRule="auto"/>
              <w:jc w:val="center"/>
              <w:textAlignment w:val="baseline"/>
              <w:rPr>
                <w:rFonts w:eastAsia="Times New Roman" w:cs="Arial"/>
                <w:sz w:val="22"/>
                <w:szCs w:val="16"/>
                <w:lang w:eastAsia="en-GB"/>
              </w:rPr>
            </w:pPr>
          </w:p>
        </w:tc>
      </w:tr>
      <w:tr w:rsidR="005C4599" w:rsidRPr="003058F5" w14:paraId="724D750D" w14:textId="77777777" w:rsidTr="00F15919">
        <w:trPr>
          <w:gridAfter w:val="2"/>
          <w:wAfter w:w="24" w:type="dxa"/>
          <w:trHeight w:val="300"/>
        </w:trPr>
        <w:tc>
          <w:tcPr>
            <w:tcW w:w="14860" w:type="dxa"/>
            <w:gridSpan w:val="20"/>
            <w:tcBorders>
              <w:top w:val="single" w:sz="6" w:space="0" w:color="A6A6A6" w:themeColor="background1" w:themeShade="A6"/>
              <w:left w:val="nil"/>
              <w:bottom w:val="single" w:sz="6" w:space="0" w:color="A6A6A6" w:themeColor="background1" w:themeShade="A6"/>
              <w:right w:val="nil"/>
            </w:tcBorders>
            <w:shd w:val="clear" w:color="auto" w:fill="FFFFFF" w:themeFill="background1"/>
            <w:tcMar>
              <w:top w:w="0" w:type="dxa"/>
              <w:bottom w:w="0" w:type="dxa"/>
            </w:tcMar>
            <w:vAlign w:val="center"/>
          </w:tcPr>
          <w:p w14:paraId="1DC38EE4" w14:textId="77777777" w:rsidR="005C4599" w:rsidRPr="003058F5" w:rsidRDefault="005C4599" w:rsidP="00016ECB">
            <w:pPr>
              <w:spacing w:line="240" w:lineRule="auto"/>
              <w:jc w:val="center"/>
              <w:textAlignment w:val="baseline"/>
              <w:rPr>
                <w:rStyle w:val="Lienhypertexte"/>
                <w:sz w:val="16"/>
                <w:szCs w:val="16"/>
              </w:rPr>
            </w:pPr>
          </w:p>
        </w:tc>
      </w:tr>
      <w:tr w:rsidR="005C4599" w:rsidRPr="003058F5" w14:paraId="5E749705" w14:textId="77777777" w:rsidTr="00F15919">
        <w:trPr>
          <w:gridAfter w:val="2"/>
          <w:wAfter w:w="24" w:type="dxa"/>
          <w:trHeight w:val="300"/>
        </w:trPr>
        <w:tc>
          <w:tcPr>
            <w:tcW w:w="14860" w:type="dxa"/>
            <w:gridSpan w:val="20"/>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0070C0"/>
            <w:vAlign w:val="center"/>
          </w:tcPr>
          <w:p w14:paraId="209064B7" w14:textId="77777777" w:rsidR="005C4599" w:rsidRPr="003058F5" w:rsidRDefault="005C4599" w:rsidP="00016ECB">
            <w:pPr>
              <w:rPr>
                <w:rStyle w:val="Lienhypertexte"/>
                <w:b/>
                <w:bCs/>
                <w:color w:val="FFFFFF" w:themeColor="background1"/>
                <w:sz w:val="18"/>
                <w:szCs w:val="18"/>
              </w:rPr>
            </w:pPr>
            <w:r>
              <w:rPr>
                <w:b/>
                <w:color w:val="FFFFFF" w:themeColor="background1"/>
                <w:sz w:val="18"/>
              </w:rPr>
              <w:t>Notes explicatives</w:t>
            </w:r>
          </w:p>
        </w:tc>
      </w:tr>
      <w:tr w:rsidR="005C4599" w:rsidRPr="003058F5" w14:paraId="3F7C8648" w14:textId="77777777" w:rsidTr="00F15919">
        <w:trPr>
          <w:gridAfter w:val="2"/>
          <w:wAfter w:w="24" w:type="dxa"/>
          <w:trHeight w:val="300"/>
        </w:trPr>
        <w:tc>
          <w:tcPr>
            <w:tcW w:w="1793"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9D29327" w14:textId="77777777" w:rsidR="005C4599" w:rsidRPr="003058F5" w:rsidRDefault="005C4599" w:rsidP="00016ECB">
            <w:pPr>
              <w:rPr>
                <w:rStyle w:val="Lienhypertexte"/>
                <w:b/>
                <w:sz w:val="16"/>
                <w:szCs w:val="16"/>
              </w:rPr>
            </w:pPr>
            <w:r>
              <w:rPr>
                <w:b/>
                <w:sz w:val="16"/>
              </w:rPr>
              <w:t>Objectif de l’indicateur</w:t>
            </w:r>
          </w:p>
        </w:tc>
        <w:tc>
          <w:tcPr>
            <w:tcW w:w="13067" w:type="dxa"/>
            <w:gridSpan w:val="19"/>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E640E11" w14:textId="44F7EC84" w:rsidR="005C4599" w:rsidRPr="003058F5" w:rsidRDefault="005C4599" w:rsidP="00016ECB">
            <w:pPr>
              <w:rPr>
                <w:rStyle w:val="Lienhypertexte"/>
                <w:color w:val="000000" w:themeColor="text1"/>
                <w:sz w:val="16"/>
                <w:szCs w:val="16"/>
              </w:rPr>
            </w:pPr>
            <w:r>
              <w:rPr>
                <w:rStyle w:val="Lienhypertexte"/>
                <w:color w:val="000000" w:themeColor="text1"/>
                <w:sz w:val="16"/>
              </w:rPr>
              <w:t>L'objectif de cet indicateur est d'évaluer la manière dont les risques et opportunités ESG</w:t>
            </w:r>
            <w:r w:rsidR="005D6539">
              <w:rPr>
                <w:rStyle w:val="Lienhypertexte"/>
                <w:color w:val="000000" w:themeColor="text1"/>
                <w:sz w:val="16"/>
              </w:rPr>
              <w:t xml:space="preserve"> </w:t>
            </w:r>
            <w:r>
              <w:rPr>
                <w:rStyle w:val="Lienhypertexte"/>
                <w:color w:val="000000" w:themeColor="text1"/>
                <w:sz w:val="16"/>
              </w:rPr>
              <w:t xml:space="preserve">majeurs sont pris en compte dans la recherche en investissement concernant les activités/opérations d'une entreprise (émetteur ou titre), d'un type d'actifs ou d'un autre instrument financier. La prise en compte des risques et des opportunités liés à la gouvernance est considérée comme une pratique répandue. Les pratiques avancées couvrent un plus grand nombre de questions liées à la chaîne d'approvisionnement. </w:t>
            </w:r>
          </w:p>
        </w:tc>
      </w:tr>
      <w:tr w:rsidR="005C4599" w:rsidRPr="003058F5" w14:paraId="7FA1B374" w14:textId="77777777" w:rsidTr="00F15919">
        <w:trPr>
          <w:gridAfter w:val="2"/>
          <w:wAfter w:w="24" w:type="dxa"/>
          <w:trHeight w:val="300"/>
        </w:trPr>
        <w:tc>
          <w:tcPr>
            <w:tcW w:w="1793"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7384569" w14:textId="1E81F260" w:rsidR="005C4599" w:rsidRPr="003058F5" w:rsidRDefault="004B4572" w:rsidP="00016ECB">
            <w:pPr>
              <w:rPr>
                <w:rStyle w:val="Lienhypertexte"/>
                <w:b/>
                <w:sz w:val="16"/>
                <w:szCs w:val="16"/>
              </w:rPr>
            </w:pPr>
            <w:r>
              <w:rPr>
                <w:b/>
                <w:sz w:val="16"/>
              </w:rPr>
              <w:t>Recommandations supplémentaires</w:t>
            </w:r>
            <w:r w:rsidR="005C4599">
              <w:rPr>
                <w:b/>
                <w:sz w:val="16"/>
              </w:rPr>
              <w:t xml:space="preserve"> en matière de </w:t>
            </w:r>
            <w:proofErr w:type="spellStart"/>
            <w:r w:rsidR="005C4599">
              <w:rPr>
                <w:b/>
                <w:sz w:val="16"/>
              </w:rPr>
              <w:t>reporting</w:t>
            </w:r>
            <w:proofErr w:type="spellEnd"/>
          </w:p>
        </w:tc>
        <w:tc>
          <w:tcPr>
            <w:tcW w:w="13067" w:type="dxa"/>
            <w:gridSpan w:val="19"/>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4CB8B09" w14:textId="6ECEA15C" w:rsidR="00FA0BEF" w:rsidRPr="003058F5" w:rsidRDefault="003761D2" w:rsidP="00016ECB">
            <w:pPr>
              <w:rPr>
                <w:rStyle w:val="Lienhypertexte"/>
                <w:color w:val="000000" w:themeColor="text1"/>
                <w:sz w:val="16"/>
                <w:szCs w:val="16"/>
              </w:rPr>
            </w:pPr>
            <w:r>
              <w:rPr>
                <w:rStyle w:val="Lienhypertexte"/>
                <w:color w:val="000000" w:themeColor="text1"/>
                <w:sz w:val="16"/>
              </w:rPr>
              <w:t xml:space="preserve">Dans cet indicateur, les options A à D font référence à des investissements directs dans des actions cotées ou des émetteurs de dette d'entreprise. Lorsque la stratégie d'investissement ne prévoit pas d’investir directement dans ces classes d'actifs, cet indicateur n'est pas applicable et le signataire doit sélectionner l'option </w:t>
            </w:r>
            <w:r w:rsidR="00FC3BD3">
              <w:rPr>
                <w:rStyle w:val="Lienhypertexte"/>
                <w:color w:val="000000" w:themeColor="text1"/>
                <w:sz w:val="16"/>
              </w:rPr>
              <w:t>« </w:t>
            </w:r>
            <w:r>
              <w:rPr>
                <w:rStyle w:val="Lienhypertexte"/>
                <w:color w:val="000000" w:themeColor="text1"/>
                <w:sz w:val="16"/>
              </w:rPr>
              <w:t>G</w:t>
            </w:r>
            <w:r w:rsidR="00FC3BD3">
              <w:rPr>
                <w:rStyle w:val="Lienhypertexte"/>
                <w:color w:val="000000" w:themeColor="text1"/>
                <w:sz w:val="16"/>
              </w:rPr>
              <w:t> »</w:t>
            </w:r>
            <w:r>
              <w:rPr>
                <w:rStyle w:val="Lienhypertexte"/>
                <w:color w:val="000000" w:themeColor="text1"/>
                <w:sz w:val="16"/>
              </w:rPr>
              <w:t xml:space="preserve">. </w:t>
            </w:r>
          </w:p>
        </w:tc>
      </w:tr>
      <w:tr w:rsidR="005C4599" w:rsidRPr="003058F5" w14:paraId="7FED39DE" w14:textId="77777777" w:rsidTr="00F15919">
        <w:trPr>
          <w:gridAfter w:val="2"/>
          <w:wAfter w:w="24" w:type="dxa"/>
          <w:trHeight w:val="300"/>
        </w:trPr>
        <w:tc>
          <w:tcPr>
            <w:tcW w:w="1793"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796E6B83" w14:textId="77777777" w:rsidR="005C4599" w:rsidRPr="003058F5" w:rsidRDefault="005C4599" w:rsidP="00016ECB">
            <w:pPr>
              <w:rPr>
                <w:b/>
                <w:bCs/>
                <w:sz w:val="16"/>
                <w:szCs w:val="16"/>
              </w:rPr>
            </w:pPr>
            <w:r>
              <w:rPr>
                <w:b/>
                <w:sz w:val="16"/>
              </w:rPr>
              <w:t>Autres ressources</w:t>
            </w:r>
          </w:p>
        </w:tc>
        <w:tc>
          <w:tcPr>
            <w:tcW w:w="13067" w:type="dxa"/>
            <w:gridSpan w:val="19"/>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1C1F82E5" w14:textId="081137A4" w:rsidR="005C4599" w:rsidRPr="003058F5" w:rsidRDefault="008F7EBA" w:rsidP="005C4599">
            <w:pPr>
              <w:rPr>
                <w:rStyle w:val="Lienhypertexte"/>
                <w:color w:val="000000" w:themeColor="text1"/>
              </w:rPr>
            </w:pPr>
            <w:r>
              <w:rPr>
                <w:rStyle w:val="Lienhypertexte"/>
                <w:color w:val="000000" w:themeColor="text1"/>
                <w:sz w:val="16"/>
              </w:rPr>
              <w:t xml:space="preserve">Pour de plus amples informations, veuillez consulter le document des PRI intitulé </w:t>
            </w:r>
            <w:hyperlink r:id="rId45" w:history="1">
              <w:proofErr w:type="spellStart"/>
              <w:r>
                <w:rPr>
                  <w:rStyle w:val="Lienhypertexte"/>
                  <w:sz w:val="16"/>
                </w:rPr>
                <w:t>Technical</w:t>
              </w:r>
              <w:proofErr w:type="spellEnd"/>
              <w:r>
                <w:rPr>
                  <w:rStyle w:val="Lienhypertexte"/>
                  <w:sz w:val="16"/>
                </w:rPr>
                <w:t xml:space="preserve"> </w:t>
              </w:r>
              <w:proofErr w:type="spellStart"/>
              <w:r>
                <w:rPr>
                  <w:rStyle w:val="Lienhypertexte"/>
                  <w:sz w:val="16"/>
                </w:rPr>
                <w:t>guide:</w:t>
              </w:r>
            </w:hyperlink>
            <w:hyperlink r:id="rId46" w:history="1">
              <w:r>
                <w:rPr>
                  <w:rStyle w:val="Lienhypertexte"/>
                  <w:sz w:val="16"/>
                </w:rPr>
                <w:t>ESG</w:t>
              </w:r>
              <w:proofErr w:type="spellEnd"/>
              <w:r>
                <w:rPr>
                  <w:rStyle w:val="Lienhypertexte"/>
                  <w:sz w:val="16"/>
                </w:rPr>
                <w:t xml:space="preserve"> incorporation in </w:t>
              </w:r>
              <w:proofErr w:type="spellStart"/>
              <w:r>
                <w:rPr>
                  <w:rStyle w:val="Lienhypertexte"/>
                  <w:sz w:val="16"/>
                </w:rPr>
                <w:t>hedge</w:t>
              </w:r>
              <w:proofErr w:type="spellEnd"/>
              <w:r>
                <w:rPr>
                  <w:rStyle w:val="Lienhypertexte"/>
                  <w:sz w:val="16"/>
                </w:rPr>
                <w:t xml:space="preserve"> </w:t>
              </w:r>
              <w:proofErr w:type="spellStart"/>
              <w:r>
                <w:rPr>
                  <w:rStyle w:val="Lienhypertexte"/>
                  <w:sz w:val="16"/>
                </w:rPr>
                <w:t>funds</w:t>
              </w:r>
              <w:proofErr w:type="spellEnd"/>
              <w:r>
                <w:rPr>
                  <w:rStyle w:val="Lienhypertexte"/>
                  <w:sz w:val="16"/>
                </w:rPr>
                <w:t xml:space="preserve"> (Guide technique</w:t>
              </w:r>
              <w:r w:rsidR="00767929">
                <w:rPr>
                  <w:rStyle w:val="Lienhypertexte"/>
                  <w:sz w:val="16"/>
                </w:rPr>
                <w:t> :</w:t>
              </w:r>
              <w:r>
                <w:rPr>
                  <w:rStyle w:val="Lienhypertexte"/>
                  <w:sz w:val="16"/>
                </w:rPr>
                <w:t xml:space="preserve"> la prise en compte des critères ESG dans les fonds spéculatifs (</w:t>
              </w:r>
              <w:proofErr w:type="spellStart"/>
              <w:r>
                <w:rPr>
                  <w:rStyle w:val="Lienhypertexte"/>
                  <w:i/>
                  <w:iCs/>
                  <w:sz w:val="16"/>
                </w:rPr>
                <w:t>hedge</w:t>
              </w:r>
              <w:proofErr w:type="spellEnd"/>
              <w:r>
                <w:rPr>
                  <w:rStyle w:val="Lienhypertexte"/>
                  <w:i/>
                  <w:iCs/>
                  <w:sz w:val="16"/>
                </w:rPr>
                <w:t xml:space="preserve"> </w:t>
              </w:r>
              <w:proofErr w:type="spellStart"/>
              <w:r>
                <w:rPr>
                  <w:rStyle w:val="Lienhypertexte"/>
                  <w:i/>
                  <w:iCs/>
                  <w:sz w:val="16"/>
                </w:rPr>
                <w:t>funds</w:t>
              </w:r>
              <w:proofErr w:type="spellEnd"/>
              <w:r>
                <w:rPr>
                  <w:rStyle w:val="Lienhypertexte"/>
                  <w:sz w:val="16"/>
                </w:rPr>
                <w:t>))</w:t>
              </w:r>
            </w:hyperlink>
            <w:r>
              <w:rPr>
                <w:rStyle w:val="Lienhypertexte"/>
                <w:color w:val="auto"/>
                <w:sz w:val="16"/>
              </w:rPr>
              <w:t>,</w:t>
            </w:r>
            <w:r>
              <w:rPr>
                <w:rStyle w:val="Lienhypertexte"/>
                <w:color w:val="000000" w:themeColor="text1"/>
                <w:sz w:val="16"/>
              </w:rPr>
              <w:t xml:space="preserve"> qui fournit un cadre aux sociétés de gestion pour prendre en compte les critères ESG majeurs dans les stratégies relatives aux fonds spéculatifs.</w:t>
            </w:r>
          </w:p>
        </w:tc>
      </w:tr>
      <w:tr w:rsidR="005C4599" w:rsidRPr="003058F5" w14:paraId="764C3372" w14:textId="77777777" w:rsidTr="00F15919">
        <w:trPr>
          <w:gridAfter w:val="2"/>
          <w:wAfter w:w="24" w:type="dxa"/>
          <w:trHeight w:val="300"/>
        </w:trPr>
        <w:tc>
          <w:tcPr>
            <w:tcW w:w="14860" w:type="dxa"/>
            <w:gridSpan w:val="20"/>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0070C0"/>
            <w:vAlign w:val="center"/>
          </w:tcPr>
          <w:p w14:paraId="6C72419E" w14:textId="77777777" w:rsidR="005C4599" w:rsidRPr="003058F5" w:rsidRDefault="005C4599" w:rsidP="00016ECB">
            <w:pPr>
              <w:rPr>
                <w:color w:val="FFFFFF" w:themeColor="background1"/>
                <w:sz w:val="16"/>
                <w:szCs w:val="16"/>
              </w:rPr>
            </w:pPr>
            <w:r>
              <w:rPr>
                <w:b/>
                <w:color w:val="FFFFFF" w:themeColor="background1"/>
                <w:sz w:val="18"/>
              </w:rPr>
              <w:t>Logique</w:t>
            </w:r>
          </w:p>
        </w:tc>
      </w:tr>
      <w:tr w:rsidR="00A966F3" w:rsidRPr="003058F5" w14:paraId="5653E59B" w14:textId="77777777" w:rsidTr="00F15919">
        <w:trPr>
          <w:gridAfter w:val="2"/>
          <w:wAfter w:w="24" w:type="dxa"/>
          <w:trHeight w:val="300"/>
        </w:trPr>
        <w:tc>
          <w:tcPr>
            <w:tcW w:w="1793"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45E8FBA" w14:textId="77777777" w:rsidR="00A966F3" w:rsidRPr="003058F5" w:rsidRDefault="00A966F3" w:rsidP="00A966F3">
            <w:pPr>
              <w:rPr>
                <w:b/>
                <w:bCs/>
                <w:sz w:val="16"/>
                <w:szCs w:val="16"/>
              </w:rPr>
            </w:pPr>
            <w:r>
              <w:rPr>
                <w:b/>
                <w:sz w:val="16"/>
              </w:rPr>
              <w:t>Lien avec</w:t>
            </w:r>
          </w:p>
        </w:tc>
        <w:tc>
          <w:tcPr>
            <w:tcW w:w="13067" w:type="dxa"/>
            <w:gridSpan w:val="19"/>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1ABCC164" w14:textId="0B2B1D2A" w:rsidR="00A966F3" w:rsidRPr="003058F5" w:rsidRDefault="00BA61E4" w:rsidP="00A966F3">
            <w:pPr>
              <w:rPr>
                <w:color w:val="000000" w:themeColor="text1"/>
                <w:sz w:val="16"/>
                <w:szCs w:val="16"/>
              </w:rPr>
            </w:pPr>
            <w:r>
              <w:rPr>
                <w:color w:val="000000" w:themeColor="text1"/>
                <w:sz w:val="16"/>
              </w:rPr>
              <w:t>[OO 21]</w:t>
            </w:r>
          </w:p>
        </w:tc>
      </w:tr>
      <w:tr w:rsidR="005C4599" w:rsidRPr="003058F5" w14:paraId="3746DEBD" w14:textId="77777777" w:rsidTr="00F15919">
        <w:trPr>
          <w:gridAfter w:val="2"/>
          <w:wAfter w:w="24" w:type="dxa"/>
          <w:trHeight w:val="300"/>
        </w:trPr>
        <w:tc>
          <w:tcPr>
            <w:tcW w:w="1793"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B9C41B3" w14:textId="77777777" w:rsidR="005C4599" w:rsidRPr="003058F5" w:rsidRDefault="005C4599" w:rsidP="00016ECB">
            <w:pPr>
              <w:rPr>
                <w:b/>
                <w:bCs/>
                <w:sz w:val="16"/>
                <w:szCs w:val="16"/>
              </w:rPr>
            </w:pPr>
            <w:r>
              <w:rPr>
                <w:b/>
                <w:sz w:val="16"/>
              </w:rPr>
              <w:t>Accès à</w:t>
            </w:r>
          </w:p>
        </w:tc>
        <w:tc>
          <w:tcPr>
            <w:tcW w:w="13067" w:type="dxa"/>
            <w:gridSpan w:val="19"/>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4915A6C" w14:textId="7D97D73D" w:rsidR="005C4599" w:rsidRPr="003058F5" w:rsidRDefault="00E85A14" w:rsidP="00016ECB">
            <w:pPr>
              <w:rPr>
                <w:color w:val="000000" w:themeColor="text1"/>
                <w:sz w:val="16"/>
                <w:szCs w:val="16"/>
              </w:rPr>
            </w:pPr>
            <w:r>
              <w:rPr>
                <w:color w:val="000000" w:themeColor="text1"/>
                <w:sz w:val="16"/>
              </w:rPr>
              <w:t>Sans objet</w:t>
            </w:r>
          </w:p>
        </w:tc>
      </w:tr>
      <w:tr w:rsidR="005C4599" w:rsidRPr="003058F5" w14:paraId="719459BF" w14:textId="77777777" w:rsidTr="00F15919">
        <w:trPr>
          <w:gridAfter w:val="2"/>
          <w:wAfter w:w="24" w:type="dxa"/>
          <w:trHeight w:val="300"/>
        </w:trPr>
        <w:tc>
          <w:tcPr>
            <w:tcW w:w="14860" w:type="dxa"/>
            <w:gridSpan w:val="20"/>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0070C0"/>
            <w:vAlign w:val="center"/>
          </w:tcPr>
          <w:p w14:paraId="34DBDC04" w14:textId="77777777" w:rsidR="005C4599" w:rsidRPr="003058F5" w:rsidRDefault="005C4599" w:rsidP="00016ECB">
            <w:pPr>
              <w:rPr>
                <w:rFonts w:eastAsia="Times New Roman" w:cs="Arial"/>
                <w:b/>
                <w:bCs/>
                <w:color w:val="FFFFFF" w:themeColor="background1"/>
                <w:sz w:val="18"/>
                <w:szCs w:val="18"/>
              </w:rPr>
            </w:pPr>
            <w:r>
              <w:rPr>
                <w:b/>
                <w:color w:val="FFFFFF" w:themeColor="background1"/>
                <w:sz w:val="18"/>
              </w:rPr>
              <w:t>Évaluation</w:t>
            </w:r>
          </w:p>
        </w:tc>
      </w:tr>
      <w:tr w:rsidR="006D50A1" w:rsidRPr="003058F5" w14:paraId="67025ACA" w14:textId="77777777" w:rsidTr="00A966F3">
        <w:trPr>
          <w:trHeight w:val="629"/>
        </w:trPr>
        <w:tc>
          <w:tcPr>
            <w:tcW w:w="1835" w:type="dxa"/>
            <w:gridSpan w:val="2"/>
            <w:shd w:val="clear" w:color="auto" w:fill="auto"/>
            <w:vAlign w:val="center"/>
          </w:tcPr>
          <w:p w14:paraId="6E8532E5" w14:textId="77777777" w:rsidR="00952C4C" w:rsidRPr="003058F5" w:rsidRDefault="00952C4C" w:rsidP="00845C19">
            <w:pPr>
              <w:rPr>
                <w:b/>
                <w:sz w:val="16"/>
                <w:szCs w:val="16"/>
              </w:rPr>
            </w:pPr>
            <w:r>
              <w:rPr>
                <w:b/>
                <w:sz w:val="16"/>
              </w:rPr>
              <w:lastRenderedPageBreak/>
              <w:t>Critères d'évaluation</w:t>
            </w:r>
          </w:p>
        </w:tc>
        <w:tc>
          <w:tcPr>
            <w:tcW w:w="13049" w:type="dxa"/>
            <w:gridSpan w:val="20"/>
            <w:shd w:val="clear" w:color="auto" w:fill="auto"/>
            <w:vAlign w:val="center"/>
          </w:tcPr>
          <w:p w14:paraId="06FE5B54" w14:textId="0F0B14B4" w:rsidR="00952C4C" w:rsidRPr="003058F5" w:rsidRDefault="00952C4C" w:rsidP="00845C19">
            <w:pPr>
              <w:rPr>
                <w:rStyle w:val="Lienhypertexte"/>
                <w:color w:val="000000" w:themeColor="text1"/>
              </w:rPr>
            </w:pPr>
            <w:r>
              <w:rPr>
                <w:rStyle w:val="Lienhypertexte"/>
                <w:color w:val="000000" w:themeColor="text1"/>
                <w:sz w:val="16"/>
              </w:rPr>
              <w:t xml:space="preserve">Les 100 points de cet indicateur sont répartis entre les options désignées par une lettre (50 points) et celles relatives au périmètre couvert (50 points). La note finale sera fondée sur les quatre meilleures combinaisons d'options désignées par des lettres et des chiffres. </w:t>
            </w:r>
          </w:p>
        </w:tc>
      </w:tr>
      <w:tr w:rsidR="002F0D77" w:rsidRPr="003058F5" w14:paraId="164B20BC" w14:textId="77777777" w:rsidTr="00A966F3">
        <w:trPr>
          <w:gridAfter w:val="1"/>
          <w:wAfter w:w="8" w:type="dxa"/>
          <w:trHeight w:val="212"/>
        </w:trPr>
        <w:tc>
          <w:tcPr>
            <w:tcW w:w="1835" w:type="dxa"/>
            <w:gridSpan w:val="2"/>
            <w:shd w:val="clear" w:color="auto" w:fill="auto"/>
            <w:vAlign w:val="center"/>
          </w:tcPr>
          <w:p w14:paraId="6061D6D7" w14:textId="77777777" w:rsidR="00952C4C" w:rsidRPr="003058F5" w:rsidRDefault="00952C4C" w:rsidP="00845C19">
            <w:pPr>
              <w:rPr>
                <w:b/>
                <w:sz w:val="16"/>
                <w:szCs w:val="16"/>
              </w:rPr>
            </w:pPr>
          </w:p>
        </w:tc>
        <w:tc>
          <w:tcPr>
            <w:tcW w:w="3823" w:type="dxa"/>
            <w:gridSpan w:val="4"/>
            <w:shd w:val="clear" w:color="auto" w:fill="auto"/>
            <w:vAlign w:val="center"/>
          </w:tcPr>
          <w:p w14:paraId="247BDFAE" w14:textId="179053BD" w:rsidR="00952C4C" w:rsidRPr="003058F5" w:rsidRDefault="00952C4C" w:rsidP="00845C19">
            <w:pPr>
              <w:rPr>
                <w:rStyle w:val="Lienhypertexte"/>
                <w:color w:val="auto"/>
                <w:sz w:val="16"/>
                <w:szCs w:val="16"/>
              </w:rPr>
            </w:pPr>
            <w:r>
              <w:rPr>
                <w:rStyle w:val="Lienhypertexte"/>
                <w:color w:val="auto"/>
                <w:sz w:val="16"/>
              </w:rPr>
              <w:t>50 points pour les options désignées par une lettre</w:t>
            </w:r>
            <w:r w:rsidR="00767929">
              <w:rPr>
                <w:rStyle w:val="Lienhypertexte"/>
                <w:color w:val="auto"/>
                <w:sz w:val="16"/>
              </w:rPr>
              <w:t> :</w:t>
            </w:r>
            <w:r>
              <w:rPr>
                <w:rStyle w:val="Lienhypertexte"/>
                <w:color w:val="auto"/>
                <w:sz w:val="16"/>
              </w:rPr>
              <w:t xml:space="preserve"> </w:t>
            </w:r>
          </w:p>
          <w:p w14:paraId="3F40ED6E" w14:textId="77777777" w:rsidR="00952C4C" w:rsidRPr="003058F5" w:rsidRDefault="00952C4C" w:rsidP="00845C19">
            <w:pPr>
              <w:rPr>
                <w:rStyle w:val="Lienhypertexte"/>
                <w:color w:val="auto"/>
                <w:sz w:val="16"/>
                <w:szCs w:val="16"/>
              </w:rPr>
            </w:pPr>
          </w:p>
          <w:p w14:paraId="38E158EC" w14:textId="1F0A3757" w:rsidR="00952C4C" w:rsidRPr="003058F5" w:rsidRDefault="00952C4C" w:rsidP="00845C19">
            <w:pPr>
              <w:rPr>
                <w:rStyle w:val="Lienhypertexte"/>
                <w:color w:val="auto"/>
                <w:sz w:val="16"/>
                <w:szCs w:val="16"/>
              </w:rPr>
            </w:pPr>
            <w:r>
              <w:rPr>
                <w:rStyle w:val="Lienhypertexte"/>
                <w:color w:val="auto"/>
                <w:sz w:val="16"/>
              </w:rPr>
              <w:t>50 points pour 4 réponses cochées parmi les options A à D.</w:t>
            </w:r>
          </w:p>
          <w:p w14:paraId="381D25E9" w14:textId="38CA0749" w:rsidR="00952C4C" w:rsidRPr="003058F5" w:rsidRDefault="00952C4C" w:rsidP="00845C19">
            <w:pPr>
              <w:rPr>
                <w:rStyle w:val="Lienhypertexte"/>
                <w:color w:val="auto"/>
                <w:sz w:val="16"/>
                <w:szCs w:val="16"/>
              </w:rPr>
            </w:pPr>
            <w:r>
              <w:rPr>
                <w:rStyle w:val="Lienhypertexte"/>
                <w:color w:val="auto"/>
                <w:sz w:val="16"/>
              </w:rPr>
              <w:t>37 points pour 3 réponses cochées parmi les options A à D.</w:t>
            </w:r>
          </w:p>
          <w:p w14:paraId="51441CC2" w14:textId="6DA8A894" w:rsidR="00952C4C" w:rsidRPr="003058F5" w:rsidRDefault="00952C4C" w:rsidP="00845C19">
            <w:pPr>
              <w:rPr>
                <w:rStyle w:val="Lienhypertexte"/>
                <w:color w:val="auto"/>
                <w:sz w:val="16"/>
                <w:szCs w:val="16"/>
              </w:rPr>
            </w:pPr>
            <w:r>
              <w:rPr>
                <w:rStyle w:val="Lienhypertexte"/>
                <w:color w:val="auto"/>
                <w:sz w:val="16"/>
              </w:rPr>
              <w:t>25 points pour 2 réponses cochées parmi les options A à D.</w:t>
            </w:r>
          </w:p>
          <w:p w14:paraId="3D101266" w14:textId="24C500B9" w:rsidR="00952C4C" w:rsidRPr="003058F5" w:rsidRDefault="00952C4C" w:rsidP="00845C19">
            <w:pPr>
              <w:rPr>
                <w:rStyle w:val="Lienhypertexte"/>
                <w:color w:val="auto"/>
                <w:sz w:val="16"/>
                <w:szCs w:val="16"/>
              </w:rPr>
            </w:pPr>
            <w:r>
              <w:rPr>
                <w:rStyle w:val="Lienhypertexte"/>
                <w:color w:val="auto"/>
                <w:sz w:val="16"/>
              </w:rPr>
              <w:t>12 points pour 1 réponse cochée parmi les options A à D.</w:t>
            </w:r>
          </w:p>
          <w:p w14:paraId="2C9E9751" w14:textId="34B97BD2" w:rsidR="00952C4C" w:rsidRPr="003058F5" w:rsidRDefault="00952C4C" w:rsidP="00845C19">
            <w:pPr>
              <w:rPr>
                <w:rStyle w:val="Lienhypertexte"/>
                <w:color w:val="auto"/>
                <w:sz w:val="16"/>
                <w:szCs w:val="16"/>
              </w:rPr>
            </w:pPr>
            <w:r>
              <w:rPr>
                <w:rStyle w:val="Lienhypertexte"/>
                <w:color w:val="auto"/>
                <w:sz w:val="16"/>
              </w:rPr>
              <w:t xml:space="preserve">0 point pour les options E et F. </w:t>
            </w:r>
          </w:p>
        </w:tc>
        <w:tc>
          <w:tcPr>
            <w:tcW w:w="709" w:type="dxa"/>
            <w:gridSpan w:val="3"/>
            <w:shd w:val="clear" w:color="auto" w:fill="auto"/>
            <w:vAlign w:val="center"/>
          </w:tcPr>
          <w:p w14:paraId="5B1FC41C" w14:textId="77777777" w:rsidR="00952C4C" w:rsidRPr="003058F5" w:rsidRDefault="00952C4C" w:rsidP="00845C19">
            <w:pPr>
              <w:rPr>
                <w:rStyle w:val="Lienhypertexte"/>
                <w:b/>
                <w:bCs/>
                <w:color w:val="auto"/>
                <w:sz w:val="16"/>
                <w:szCs w:val="16"/>
              </w:rPr>
            </w:pPr>
            <w:r>
              <w:rPr>
                <w:rStyle w:val="Lienhypertexte"/>
                <w:b/>
                <w:color w:val="auto"/>
                <w:sz w:val="16"/>
              </w:rPr>
              <w:t>ET</w:t>
            </w:r>
          </w:p>
        </w:tc>
        <w:tc>
          <w:tcPr>
            <w:tcW w:w="4253" w:type="dxa"/>
            <w:gridSpan w:val="4"/>
            <w:shd w:val="clear" w:color="auto" w:fill="auto"/>
            <w:vAlign w:val="center"/>
          </w:tcPr>
          <w:p w14:paraId="6CB33D29" w14:textId="16E9463D" w:rsidR="00952C4C" w:rsidRPr="003058F5" w:rsidRDefault="00952C4C" w:rsidP="00845C19">
            <w:pPr>
              <w:rPr>
                <w:rStyle w:val="Lienhypertexte"/>
                <w:color w:val="auto"/>
                <w:sz w:val="16"/>
                <w:szCs w:val="16"/>
              </w:rPr>
            </w:pPr>
            <w:r>
              <w:rPr>
                <w:rStyle w:val="Lienhypertexte"/>
                <w:color w:val="auto"/>
                <w:sz w:val="16"/>
              </w:rPr>
              <w:t>50 points pour le périmètre couvert</w:t>
            </w:r>
            <w:r w:rsidR="00767929">
              <w:rPr>
                <w:rStyle w:val="Lienhypertexte"/>
                <w:color w:val="auto"/>
                <w:sz w:val="16"/>
              </w:rPr>
              <w:t> :</w:t>
            </w:r>
          </w:p>
          <w:p w14:paraId="333E49AD" w14:textId="0E385E11" w:rsidR="00952C4C" w:rsidRPr="003058F5" w:rsidRDefault="00952C4C" w:rsidP="00845C19">
            <w:pPr>
              <w:spacing w:before="100" w:beforeAutospacing="1" w:after="100" w:afterAutospacing="1" w:line="240" w:lineRule="auto"/>
              <w:textAlignment w:val="baseline"/>
              <w:rPr>
                <w:rStyle w:val="Lienhypertexte"/>
                <w:rFonts w:ascii="Times New Roman" w:eastAsia="Times New Roman" w:hAnsi="Times New Roman"/>
                <w:color w:val="auto"/>
                <w:sz w:val="24"/>
                <w:szCs w:val="24"/>
              </w:rPr>
            </w:pPr>
            <w:r>
              <w:rPr>
                <w:sz w:val="16"/>
              </w:rPr>
              <w:t>Pour les réponses A à D, chaque option est notée comme suit</w:t>
            </w:r>
            <w:r w:rsidR="00767929">
              <w:rPr>
                <w:sz w:val="16"/>
              </w:rPr>
              <w:t> :</w:t>
            </w:r>
            <w:r>
              <w:rPr>
                <w:sz w:val="16"/>
              </w:rPr>
              <w:t> </w:t>
            </w:r>
          </w:p>
          <w:p w14:paraId="779D4E62" w14:textId="77777777" w:rsidR="00952C4C" w:rsidRPr="003058F5" w:rsidRDefault="00952C4C" w:rsidP="00845C19">
            <w:pPr>
              <w:rPr>
                <w:rStyle w:val="Lienhypertexte"/>
                <w:color w:val="auto"/>
                <w:sz w:val="16"/>
                <w:szCs w:val="16"/>
              </w:rPr>
            </w:pPr>
            <w:r>
              <w:rPr>
                <w:rStyle w:val="Lienhypertexte"/>
                <w:color w:val="auto"/>
                <w:sz w:val="16"/>
              </w:rPr>
              <w:t>50/4 points pour toutes les options (1) cochées.</w:t>
            </w:r>
          </w:p>
          <w:p w14:paraId="68D4EBF4" w14:textId="311B60F9" w:rsidR="00952C4C" w:rsidRPr="003058F5" w:rsidRDefault="00952C4C" w:rsidP="00845C19">
            <w:pPr>
              <w:rPr>
                <w:rStyle w:val="Lienhypertexte"/>
                <w:color w:val="auto"/>
                <w:sz w:val="16"/>
                <w:szCs w:val="16"/>
              </w:rPr>
            </w:pPr>
            <w:r>
              <w:rPr>
                <w:rStyle w:val="Lienhypertexte"/>
                <w:color w:val="auto"/>
                <w:sz w:val="16"/>
              </w:rPr>
              <w:t>25/4 points pour la majorité d’options (2) cochées.</w:t>
            </w:r>
          </w:p>
          <w:p w14:paraId="4B6CCE46" w14:textId="026410E5" w:rsidR="00952C4C" w:rsidRPr="003058F5" w:rsidRDefault="00952C4C" w:rsidP="00845C19">
            <w:pPr>
              <w:rPr>
                <w:rStyle w:val="Lienhypertexte"/>
                <w:color w:val="auto"/>
                <w:sz w:val="16"/>
                <w:szCs w:val="16"/>
              </w:rPr>
            </w:pPr>
            <w:r>
              <w:rPr>
                <w:rStyle w:val="Lienhypertexte"/>
                <w:color w:val="auto"/>
                <w:sz w:val="16"/>
              </w:rPr>
              <w:t>12/4 points pour une minorité d’options (3) cochées.</w:t>
            </w:r>
          </w:p>
        </w:tc>
        <w:tc>
          <w:tcPr>
            <w:tcW w:w="4256" w:type="dxa"/>
            <w:gridSpan w:val="8"/>
            <w:shd w:val="clear" w:color="auto" w:fill="auto"/>
            <w:vAlign w:val="center"/>
          </w:tcPr>
          <w:p w14:paraId="425B51BD" w14:textId="237D65BB" w:rsidR="00EF07AD" w:rsidRPr="003058F5" w:rsidRDefault="00EF07AD" w:rsidP="00EF07AD">
            <w:pPr>
              <w:rPr>
                <w:rStyle w:val="Lienhypertexte"/>
                <w:color w:val="auto"/>
                <w:sz w:val="16"/>
                <w:szCs w:val="16"/>
              </w:rPr>
            </w:pPr>
            <w:r>
              <w:rPr>
                <w:rStyle w:val="Lienhypertexte"/>
                <w:color w:val="auto"/>
                <w:sz w:val="16"/>
              </w:rPr>
              <w:t>Autres informations</w:t>
            </w:r>
            <w:r w:rsidR="00767929">
              <w:rPr>
                <w:rStyle w:val="Lienhypertexte"/>
                <w:color w:val="auto"/>
                <w:sz w:val="16"/>
              </w:rPr>
              <w:t> :</w:t>
            </w:r>
          </w:p>
          <w:p w14:paraId="445B8AAA" w14:textId="77777777" w:rsidR="00EF07AD" w:rsidRPr="003058F5" w:rsidRDefault="00EF07AD" w:rsidP="00EF07AD">
            <w:pPr>
              <w:rPr>
                <w:rStyle w:val="Lienhypertexte"/>
                <w:color w:val="auto"/>
                <w:sz w:val="16"/>
                <w:szCs w:val="16"/>
              </w:rPr>
            </w:pPr>
          </w:p>
          <w:p w14:paraId="318918EA" w14:textId="503511E3" w:rsidR="001D3788" w:rsidRPr="003058F5" w:rsidRDefault="00386F8F" w:rsidP="00EF07AD">
            <w:pPr>
              <w:rPr>
                <w:sz w:val="16"/>
                <w:szCs w:val="16"/>
              </w:rPr>
            </w:pPr>
            <w:r>
              <w:rPr>
                <w:sz w:val="16"/>
              </w:rPr>
              <w:t xml:space="preserve">Si vous sélectionnez </w:t>
            </w:r>
            <w:r w:rsidR="00FC3BD3">
              <w:rPr>
                <w:sz w:val="16"/>
              </w:rPr>
              <w:t>« </w:t>
            </w:r>
            <w:r>
              <w:rPr>
                <w:sz w:val="16"/>
              </w:rPr>
              <w:t>F</w:t>
            </w:r>
            <w:r w:rsidR="00FC3BD3">
              <w:rPr>
                <w:sz w:val="16"/>
              </w:rPr>
              <w:t> »</w:t>
            </w:r>
            <w:r>
              <w:rPr>
                <w:sz w:val="16"/>
              </w:rPr>
              <w:t>, vous obtiendrez une note de 0/100 points pour cet indicateur.</w:t>
            </w:r>
          </w:p>
          <w:p w14:paraId="3D633537" w14:textId="77777777" w:rsidR="00EF07AD" w:rsidRPr="003058F5" w:rsidRDefault="00EF07AD" w:rsidP="00EF07AD">
            <w:pPr>
              <w:rPr>
                <w:rFonts w:cs="Arial"/>
                <w:color w:val="000000" w:themeColor="text1"/>
                <w:sz w:val="16"/>
                <w:szCs w:val="16"/>
              </w:rPr>
            </w:pPr>
          </w:p>
          <w:p w14:paraId="2A5E0674" w14:textId="449B5468" w:rsidR="00952C4C" w:rsidRPr="003058F5" w:rsidRDefault="00386F8F" w:rsidP="00845C19">
            <w:pPr>
              <w:rPr>
                <w:rStyle w:val="Lienhypertexte"/>
                <w:color w:val="000000" w:themeColor="text1"/>
                <w:sz w:val="16"/>
                <w:szCs w:val="16"/>
              </w:rPr>
            </w:pPr>
            <w:r>
              <w:rPr>
                <w:rStyle w:val="Lienhypertexte"/>
                <w:color w:val="000000" w:themeColor="text1"/>
                <w:sz w:val="16"/>
              </w:rPr>
              <w:t xml:space="preserve">Si la réponse est </w:t>
            </w:r>
            <w:r w:rsidR="00FC3BD3">
              <w:rPr>
                <w:rStyle w:val="Lienhypertexte"/>
                <w:color w:val="000000" w:themeColor="text1"/>
                <w:sz w:val="16"/>
              </w:rPr>
              <w:t>« </w:t>
            </w:r>
            <w:r>
              <w:rPr>
                <w:rStyle w:val="Lienhypertexte"/>
                <w:color w:val="000000" w:themeColor="text1"/>
                <w:sz w:val="16"/>
              </w:rPr>
              <w:t>G</w:t>
            </w:r>
            <w:r w:rsidR="00FC3BD3">
              <w:rPr>
                <w:rStyle w:val="Lienhypertexte"/>
                <w:color w:val="000000" w:themeColor="text1"/>
                <w:sz w:val="16"/>
              </w:rPr>
              <w:t> »</w:t>
            </w:r>
            <w:r>
              <w:rPr>
                <w:rStyle w:val="Lienhypertexte"/>
                <w:color w:val="000000" w:themeColor="text1"/>
                <w:sz w:val="16"/>
              </w:rPr>
              <w:t>, cet indicateur est noté comme étant Sans objet. Les signataires ne seront pas pénalisés pour cet indicateur.</w:t>
            </w:r>
          </w:p>
          <w:p w14:paraId="61CB7BC9" w14:textId="77777777" w:rsidR="001D3788" w:rsidRPr="003058F5" w:rsidRDefault="001D3788" w:rsidP="00845C19">
            <w:pPr>
              <w:rPr>
                <w:rFonts w:cs="Arial"/>
                <w:sz w:val="16"/>
                <w:szCs w:val="16"/>
              </w:rPr>
            </w:pPr>
          </w:p>
          <w:p w14:paraId="742A4FFA" w14:textId="3A397861" w:rsidR="00952C4C" w:rsidRPr="003058F5" w:rsidRDefault="001D3788" w:rsidP="00845C19">
            <w:pPr>
              <w:rPr>
                <w:rStyle w:val="Lienhypertexte"/>
                <w:color w:val="000000" w:themeColor="text1"/>
                <w:sz w:val="16"/>
                <w:szCs w:val="16"/>
              </w:rPr>
            </w:pPr>
            <w:r>
              <w:rPr>
                <w:color w:val="000000" w:themeColor="text1"/>
                <w:sz w:val="16"/>
              </w:rPr>
              <w:t>Le nombre de types de stratégies applicables n'affectera pas les points disponibles pour cet indicateur, car chaque stratégie recevra une note distincte.</w:t>
            </w:r>
          </w:p>
        </w:tc>
      </w:tr>
      <w:tr w:rsidR="00952C4C" w:rsidRPr="003058F5" w14:paraId="3EBB4E77" w14:textId="77777777" w:rsidTr="00F15919">
        <w:trPr>
          <w:gridAfter w:val="2"/>
          <w:wAfter w:w="24" w:type="dxa"/>
          <w:trHeight w:val="300"/>
        </w:trPr>
        <w:tc>
          <w:tcPr>
            <w:tcW w:w="1835"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B3389F6" w14:textId="648165B5" w:rsidR="00952C4C" w:rsidRPr="003058F5" w:rsidDel="002635ED" w:rsidRDefault="00386F8F" w:rsidP="00845C19">
            <w:pPr>
              <w:rPr>
                <w:b/>
                <w:bCs/>
                <w:sz w:val="16"/>
                <w:szCs w:val="16"/>
              </w:rPr>
            </w:pPr>
            <w:r>
              <w:rPr>
                <w:b/>
                <w:sz w:val="16"/>
              </w:rPr>
              <w:t xml:space="preserve">Notation de la réponse </w:t>
            </w:r>
            <w:r w:rsidR="00FC3BD3">
              <w:rPr>
                <w:b/>
                <w:sz w:val="16"/>
              </w:rPr>
              <w:t>« </w:t>
            </w:r>
            <w:r>
              <w:rPr>
                <w:b/>
                <w:sz w:val="16"/>
              </w:rPr>
              <w:t>Autres</w:t>
            </w:r>
            <w:r w:rsidR="00FC3BD3">
              <w:rPr>
                <w:b/>
                <w:sz w:val="16"/>
              </w:rPr>
              <w:t> »</w:t>
            </w:r>
          </w:p>
        </w:tc>
        <w:tc>
          <w:tcPr>
            <w:tcW w:w="13025" w:type="dxa"/>
            <w:gridSpan w:val="18"/>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3408F03" w14:textId="36188040" w:rsidR="00952C4C" w:rsidRPr="003058F5" w:rsidRDefault="00952C4C" w:rsidP="00845C19">
            <w:pPr>
              <w:rPr>
                <w:rStyle w:val="Lienhypertexte"/>
                <w:color w:val="auto"/>
              </w:rPr>
            </w:pPr>
            <w:r>
              <w:rPr>
                <w:rStyle w:val="Lienhypertexte"/>
                <w:color w:val="auto"/>
                <w:sz w:val="16"/>
              </w:rPr>
              <w:t xml:space="preserve">La réponse </w:t>
            </w:r>
            <w:r w:rsidR="00FC3BD3">
              <w:rPr>
                <w:rStyle w:val="Lienhypertexte"/>
                <w:color w:val="auto"/>
                <w:sz w:val="16"/>
              </w:rPr>
              <w:t>« </w:t>
            </w:r>
            <w:r>
              <w:rPr>
                <w:rStyle w:val="Lienhypertexte"/>
                <w:color w:val="auto"/>
                <w:sz w:val="16"/>
              </w:rPr>
              <w:t>Autres</w:t>
            </w:r>
            <w:r w:rsidR="00FC3BD3">
              <w:rPr>
                <w:rStyle w:val="Lienhypertexte"/>
                <w:color w:val="auto"/>
                <w:sz w:val="16"/>
              </w:rPr>
              <w:t> »</w:t>
            </w:r>
            <w:r>
              <w:rPr>
                <w:rStyle w:val="Lienhypertexte"/>
                <w:color w:val="auto"/>
                <w:sz w:val="16"/>
              </w:rPr>
              <w:t xml:space="preserve"> (E) </w:t>
            </w:r>
            <w:r>
              <w:rPr>
                <w:rStyle w:val="normaltextrun"/>
                <w:sz w:val="16"/>
              </w:rPr>
              <w:t>ne sera pas prise en compte au regard des critères de notation, étant donné que les options prédéfinies ont été identifiées comme couvrant l’ensemble des bonnes pratiques.</w:t>
            </w:r>
          </w:p>
        </w:tc>
      </w:tr>
      <w:tr w:rsidR="00952C4C" w:rsidRPr="003058F5" w14:paraId="32C63296" w14:textId="77777777" w:rsidTr="00F15919">
        <w:trPr>
          <w:gridAfter w:val="3"/>
          <w:wAfter w:w="49" w:type="dxa"/>
          <w:trHeight w:val="300"/>
        </w:trPr>
        <w:tc>
          <w:tcPr>
            <w:tcW w:w="1835"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2BE060B" w14:textId="77777777" w:rsidR="00952C4C" w:rsidRPr="002E7001" w:rsidDel="002635ED" w:rsidRDefault="00952C4C" w:rsidP="00845C19">
            <w:pPr>
              <w:spacing w:line="240" w:lineRule="auto"/>
              <w:rPr>
                <w:b/>
                <w:bCs/>
                <w:sz w:val="16"/>
                <w:szCs w:val="16"/>
              </w:rPr>
            </w:pPr>
            <w:r>
              <w:rPr>
                <w:b/>
                <w:sz w:val="16"/>
              </w:rPr>
              <w:t>Multiplicateur</w:t>
            </w:r>
          </w:p>
        </w:tc>
        <w:tc>
          <w:tcPr>
            <w:tcW w:w="13000" w:type="dxa"/>
            <w:gridSpan w:val="17"/>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EFAB388" w14:textId="7055A6F3" w:rsidR="00952C4C" w:rsidRPr="002E7001" w:rsidRDefault="0060497C" w:rsidP="00845C19">
            <w:pPr>
              <w:rPr>
                <w:rStyle w:val="Lienhypertexte"/>
                <w:color w:val="000000" w:themeColor="text1"/>
              </w:rPr>
            </w:pPr>
            <w:r>
              <w:rPr>
                <w:rStyle w:val="Lienhypertexte"/>
                <w:color w:val="000000" w:themeColor="text1"/>
                <w:sz w:val="16"/>
              </w:rPr>
              <w:t xml:space="preserve">Le multiplicateur sera confirmé avant le cycle de </w:t>
            </w:r>
            <w:proofErr w:type="spellStart"/>
            <w:r>
              <w:rPr>
                <w:rStyle w:val="Lienhypertexte"/>
                <w:color w:val="000000" w:themeColor="text1"/>
                <w:sz w:val="16"/>
              </w:rPr>
              <w:t>reporting</w:t>
            </w:r>
            <w:proofErr w:type="spellEnd"/>
            <w:r>
              <w:rPr>
                <w:rStyle w:val="Lienhypertexte"/>
                <w:color w:val="000000" w:themeColor="text1"/>
                <w:sz w:val="16"/>
              </w:rPr>
              <w:t xml:space="preserve"> 2023 qui débutera à la mi-mai. </w:t>
            </w:r>
          </w:p>
        </w:tc>
      </w:tr>
    </w:tbl>
    <w:p w14:paraId="08FE33CE" w14:textId="77777777" w:rsidR="00B004B2" w:rsidRPr="003058F5" w:rsidRDefault="00B004B2">
      <w:pPr>
        <w:spacing w:after="160" w:line="259" w:lineRule="auto"/>
        <w:rPr>
          <w:sz w:val="16"/>
          <w:szCs w:val="16"/>
        </w:rPr>
      </w:pPr>
      <w:r>
        <w:br w:type="page"/>
      </w:r>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2162"/>
        <w:gridCol w:w="1533"/>
        <w:gridCol w:w="2755"/>
        <w:gridCol w:w="4550"/>
        <w:gridCol w:w="1936"/>
        <w:gridCol w:w="1948"/>
      </w:tblGrid>
      <w:tr w:rsidR="008B2326" w:rsidRPr="003058F5" w14:paraId="5FEE35F2" w14:textId="77777777" w:rsidTr="0041111A">
        <w:trPr>
          <w:trHeight w:val="380"/>
        </w:trPr>
        <w:tc>
          <w:tcPr>
            <w:tcW w:w="2162" w:type="dxa"/>
            <w:vMerge w:val="restart"/>
            <w:shd w:val="clear" w:color="auto" w:fill="F2F2F2" w:themeFill="background1" w:themeFillShade="F2"/>
            <w:vAlign w:val="center"/>
            <w:hideMark/>
          </w:tcPr>
          <w:p w14:paraId="1B162CCC" w14:textId="77777777" w:rsidR="00B004B2" w:rsidRPr="003058F5" w:rsidRDefault="00B004B2" w:rsidP="00B004B2">
            <w:pPr>
              <w:spacing w:line="240" w:lineRule="auto"/>
              <w:jc w:val="center"/>
              <w:textAlignment w:val="baseline"/>
              <w:rPr>
                <w:rFonts w:eastAsia="Times New Roman" w:cs="Arial"/>
                <w:b/>
                <w:sz w:val="14"/>
                <w:szCs w:val="14"/>
              </w:rPr>
            </w:pPr>
            <w:r>
              <w:rPr>
                <w:b/>
                <w:sz w:val="14"/>
              </w:rPr>
              <w:lastRenderedPageBreak/>
              <w:t>Identifiant de l’indicateur</w:t>
            </w:r>
          </w:p>
          <w:p w14:paraId="3CC1421C" w14:textId="77777777" w:rsidR="00B004B2" w:rsidRPr="003058F5" w:rsidRDefault="00B004B2" w:rsidP="00B004B2">
            <w:pPr>
              <w:spacing w:line="240" w:lineRule="auto"/>
              <w:jc w:val="center"/>
              <w:textAlignment w:val="baseline"/>
              <w:rPr>
                <w:rFonts w:eastAsia="Times New Roman" w:cs="Arial"/>
                <w:b/>
                <w:sz w:val="10"/>
                <w:szCs w:val="10"/>
                <w:lang w:eastAsia="en-GB"/>
              </w:rPr>
            </w:pPr>
          </w:p>
          <w:p w14:paraId="5D120842" w14:textId="1EB7B851" w:rsidR="00B004B2" w:rsidRPr="003058F5" w:rsidRDefault="00B004B2" w:rsidP="00B004B2">
            <w:pPr>
              <w:pStyle w:val="Indicatorsubsection"/>
            </w:pPr>
            <w:bookmarkStart w:id="17" w:name="_Toc128064109"/>
            <w:r>
              <w:t>HF 5</w:t>
            </w:r>
            <w:bookmarkEnd w:id="17"/>
          </w:p>
        </w:tc>
        <w:tc>
          <w:tcPr>
            <w:tcW w:w="1533" w:type="dxa"/>
            <w:shd w:val="clear" w:color="auto" w:fill="F2F2F2" w:themeFill="background1" w:themeFillShade="F2"/>
            <w:vAlign w:val="center"/>
            <w:hideMark/>
          </w:tcPr>
          <w:p w14:paraId="17D3AEE2" w14:textId="1C115459" w:rsidR="00B004B2" w:rsidRPr="003058F5" w:rsidRDefault="00F61763" w:rsidP="00B004B2">
            <w:pPr>
              <w:spacing w:line="240" w:lineRule="auto"/>
              <w:textAlignment w:val="baseline"/>
              <w:rPr>
                <w:rFonts w:eastAsia="Times New Roman" w:cs="Arial"/>
                <w:sz w:val="14"/>
                <w:szCs w:val="14"/>
              </w:rPr>
            </w:pPr>
            <w:r>
              <w:rPr>
                <w:b/>
                <w:sz w:val="14"/>
              </w:rPr>
              <w:t>Lien avec</w:t>
            </w:r>
            <w:r w:rsidR="000666BC">
              <w:rPr>
                <w:b/>
                <w:sz w:val="14"/>
              </w:rPr>
              <w:t> </w:t>
            </w:r>
            <w:r>
              <w:rPr>
                <w:b/>
                <w:sz w:val="14"/>
              </w:rPr>
              <w:t xml:space="preserve">: </w:t>
            </w:r>
          </w:p>
        </w:tc>
        <w:tc>
          <w:tcPr>
            <w:tcW w:w="2755" w:type="dxa"/>
            <w:shd w:val="clear" w:color="auto" w:fill="F2F2F2" w:themeFill="background1" w:themeFillShade="F2"/>
            <w:vAlign w:val="center"/>
          </w:tcPr>
          <w:p w14:paraId="2EE8E4F3" w14:textId="20F29EEE" w:rsidR="00B004B2" w:rsidRPr="003058F5" w:rsidRDefault="00BA61E4" w:rsidP="00B004B2">
            <w:pPr>
              <w:spacing w:line="240" w:lineRule="auto"/>
              <w:textAlignment w:val="baseline"/>
              <w:rPr>
                <w:rFonts w:eastAsia="Times New Roman" w:cs="Arial"/>
                <w:sz w:val="14"/>
                <w:szCs w:val="14"/>
              </w:rPr>
            </w:pPr>
            <w:r>
              <w:rPr>
                <w:b/>
                <w:sz w:val="22"/>
              </w:rPr>
              <w:t>OO 21</w:t>
            </w:r>
          </w:p>
        </w:tc>
        <w:tc>
          <w:tcPr>
            <w:tcW w:w="4550" w:type="dxa"/>
            <w:vMerge w:val="restart"/>
            <w:shd w:val="clear" w:color="auto" w:fill="F2F2F2" w:themeFill="background1" w:themeFillShade="F2"/>
            <w:vAlign w:val="center"/>
          </w:tcPr>
          <w:p w14:paraId="37A417BE" w14:textId="77777777" w:rsidR="00B004B2" w:rsidRPr="003058F5" w:rsidRDefault="00B004B2" w:rsidP="00B004B2">
            <w:pPr>
              <w:spacing w:line="240" w:lineRule="auto"/>
              <w:jc w:val="center"/>
              <w:textAlignment w:val="baseline"/>
              <w:rPr>
                <w:rFonts w:eastAsia="Times New Roman" w:cs="Arial"/>
                <w:sz w:val="14"/>
                <w:szCs w:val="14"/>
              </w:rPr>
            </w:pPr>
            <w:r>
              <w:rPr>
                <w:b/>
                <w:sz w:val="14"/>
              </w:rPr>
              <w:t>Sous-section</w:t>
            </w:r>
            <w:r>
              <w:rPr>
                <w:sz w:val="14"/>
              </w:rPr>
              <w:t> </w:t>
            </w:r>
          </w:p>
          <w:p w14:paraId="2D2FA938" w14:textId="77777777" w:rsidR="00B004B2" w:rsidRPr="003058F5" w:rsidRDefault="00B004B2" w:rsidP="00B004B2">
            <w:pPr>
              <w:spacing w:line="240" w:lineRule="auto"/>
              <w:jc w:val="center"/>
              <w:textAlignment w:val="baseline"/>
              <w:rPr>
                <w:rFonts w:eastAsia="Times New Roman" w:cs="Arial"/>
                <w:sz w:val="14"/>
                <w:szCs w:val="14"/>
                <w:lang w:eastAsia="en-GB"/>
              </w:rPr>
            </w:pPr>
          </w:p>
          <w:p w14:paraId="187B90FA" w14:textId="7EDB56C8" w:rsidR="00B004B2" w:rsidRPr="003058F5" w:rsidRDefault="006E7CBA" w:rsidP="00B004B2">
            <w:pPr>
              <w:jc w:val="center"/>
              <w:rPr>
                <w:sz w:val="18"/>
                <w:szCs w:val="18"/>
              </w:rPr>
            </w:pPr>
            <w:r>
              <w:rPr>
                <w:b/>
                <w:sz w:val="22"/>
              </w:rPr>
              <w:t>Prise en compte des critères ESG dans la recherche</w:t>
            </w:r>
          </w:p>
        </w:tc>
        <w:tc>
          <w:tcPr>
            <w:tcW w:w="1936" w:type="dxa"/>
            <w:vMerge w:val="restart"/>
            <w:shd w:val="clear" w:color="auto" w:fill="F2F2F2" w:themeFill="background1" w:themeFillShade="F2"/>
            <w:vAlign w:val="center"/>
            <w:hideMark/>
          </w:tcPr>
          <w:p w14:paraId="5775932C" w14:textId="77777777" w:rsidR="00B004B2" w:rsidRPr="003058F5" w:rsidRDefault="00B004B2" w:rsidP="00B004B2">
            <w:pPr>
              <w:spacing w:line="240" w:lineRule="auto"/>
              <w:jc w:val="center"/>
              <w:textAlignment w:val="baseline"/>
              <w:rPr>
                <w:rFonts w:eastAsia="Times New Roman" w:cs="Arial"/>
                <w:b/>
                <w:bCs/>
                <w:sz w:val="14"/>
                <w:szCs w:val="14"/>
              </w:rPr>
            </w:pPr>
            <w:r>
              <w:rPr>
                <w:b/>
                <w:sz w:val="14"/>
              </w:rPr>
              <w:t>Principe des PRI</w:t>
            </w:r>
          </w:p>
          <w:p w14:paraId="549BDC58" w14:textId="77777777" w:rsidR="00B004B2" w:rsidRPr="003058F5" w:rsidRDefault="00B004B2" w:rsidP="00B004B2">
            <w:pPr>
              <w:spacing w:line="240" w:lineRule="auto"/>
              <w:jc w:val="center"/>
              <w:textAlignment w:val="baseline"/>
              <w:rPr>
                <w:rFonts w:eastAsia="Times New Roman" w:cs="Arial"/>
                <w:b/>
                <w:bCs/>
                <w:sz w:val="14"/>
                <w:szCs w:val="14"/>
                <w:lang w:eastAsia="en-GB"/>
              </w:rPr>
            </w:pPr>
          </w:p>
          <w:p w14:paraId="7A61023E" w14:textId="6A70D127" w:rsidR="00B004B2" w:rsidRPr="003058F5" w:rsidRDefault="00B004B2" w:rsidP="00B004B2">
            <w:pPr>
              <w:spacing w:line="240" w:lineRule="auto"/>
              <w:jc w:val="center"/>
              <w:textAlignment w:val="baseline"/>
              <w:rPr>
                <w:rFonts w:eastAsia="Times New Roman" w:cs="Arial"/>
                <w:sz w:val="18"/>
                <w:szCs w:val="18"/>
              </w:rPr>
            </w:pPr>
            <w:r>
              <w:rPr>
                <w:b/>
                <w:sz w:val="22"/>
              </w:rPr>
              <w:t>1</w:t>
            </w:r>
          </w:p>
        </w:tc>
        <w:tc>
          <w:tcPr>
            <w:tcW w:w="1948" w:type="dxa"/>
            <w:vMerge w:val="restart"/>
            <w:shd w:val="clear" w:color="auto" w:fill="A6A6A6" w:themeFill="background1" w:themeFillShade="A6"/>
            <w:tcMar>
              <w:top w:w="113" w:type="dxa"/>
              <w:left w:w="113" w:type="dxa"/>
              <w:bottom w:w="113" w:type="dxa"/>
              <w:right w:w="113" w:type="dxa"/>
            </w:tcMar>
            <w:vAlign w:val="center"/>
            <w:hideMark/>
          </w:tcPr>
          <w:p w14:paraId="76A00266" w14:textId="77777777" w:rsidR="00B004B2" w:rsidRPr="003058F5" w:rsidRDefault="00B004B2" w:rsidP="00B004B2">
            <w:pPr>
              <w:spacing w:line="240" w:lineRule="auto"/>
              <w:jc w:val="center"/>
              <w:textAlignment w:val="baseline"/>
              <w:rPr>
                <w:rFonts w:eastAsia="Times New Roman" w:cs="Arial"/>
                <w:b/>
                <w:bCs/>
                <w:color w:val="FFFFFF" w:themeColor="background1"/>
                <w:sz w:val="14"/>
                <w:szCs w:val="14"/>
              </w:rPr>
            </w:pPr>
            <w:r>
              <w:rPr>
                <w:b/>
                <w:color w:val="FFFFFF" w:themeColor="background1"/>
                <w:sz w:val="14"/>
              </w:rPr>
              <w:t>Type d'indicateur</w:t>
            </w:r>
          </w:p>
          <w:p w14:paraId="73890940" w14:textId="77777777" w:rsidR="00B004B2" w:rsidRPr="003058F5" w:rsidRDefault="00B004B2" w:rsidP="00B004B2">
            <w:pPr>
              <w:spacing w:line="240" w:lineRule="auto"/>
              <w:jc w:val="center"/>
              <w:textAlignment w:val="baseline"/>
              <w:rPr>
                <w:rFonts w:eastAsia="Times New Roman" w:cs="Arial"/>
                <w:b/>
                <w:bCs/>
                <w:color w:val="FFFFFF" w:themeColor="background1"/>
                <w:sz w:val="14"/>
                <w:szCs w:val="14"/>
                <w:lang w:eastAsia="en-GB"/>
              </w:rPr>
            </w:pPr>
          </w:p>
          <w:p w14:paraId="6B34C260" w14:textId="77777777" w:rsidR="00B004B2" w:rsidRPr="003058F5" w:rsidRDefault="00B004B2" w:rsidP="00B004B2">
            <w:pPr>
              <w:spacing w:line="240" w:lineRule="auto"/>
              <w:jc w:val="center"/>
              <w:textAlignment w:val="baseline"/>
              <w:rPr>
                <w:rFonts w:eastAsia="Times New Roman" w:cs="Arial"/>
                <w:color w:val="FFFFFF" w:themeColor="background1"/>
                <w:sz w:val="32"/>
                <w:szCs w:val="32"/>
              </w:rPr>
            </w:pPr>
            <w:r>
              <w:rPr>
                <w:b/>
                <w:color w:val="FFFFFF" w:themeColor="background1"/>
                <w:sz w:val="32"/>
              </w:rPr>
              <w:t>PLUS</w:t>
            </w:r>
          </w:p>
          <w:p w14:paraId="6211CCE4" w14:textId="77777777" w:rsidR="00B004B2" w:rsidRPr="003058F5" w:rsidRDefault="00B004B2" w:rsidP="00B004B2">
            <w:pPr>
              <w:spacing w:line="240" w:lineRule="auto"/>
              <w:jc w:val="center"/>
              <w:textAlignment w:val="baseline"/>
              <w:rPr>
                <w:rFonts w:eastAsia="Times New Roman" w:cs="Arial"/>
                <w:color w:val="FFFFFF" w:themeColor="background1"/>
                <w:sz w:val="18"/>
                <w:szCs w:val="18"/>
              </w:rPr>
            </w:pPr>
            <w:r>
              <w:rPr>
                <w:b/>
                <w:color w:val="FFFFFF" w:themeColor="background1"/>
                <w:sz w:val="10"/>
              </w:rPr>
              <w:t>PUBLICATION FACULTATIVE</w:t>
            </w:r>
          </w:p>
        </w:tc>
      </w:tr>
      <w:tr w:rsidR="008B2326" w:rsidRPr="003058F5" w14:paraId="70E27307" w14:textId="77777777" w:rsidTr="0041111A">
        <w:trPr>
          <w:trHeight w:val="380"/>
        </w:trPr>
        <w:tc>
          <w:tcPr>
            <w:tcW w:w="2162" w:type="dxa"/>
            <w:vMerge/>
            <w:shd w:val="clear" w:color="auto" w:fill="F2F2F2" w:themeFill="background1" w:themeFillShade="F2"/>
            <w:vAlign w:val="center"/>
          </w:tcPr>
          <w:p w14:paraId="50986D10" w14:textId="77777777" w:rsidR="00B004B2" w:rsidRPr="003058F5" w:rsidRDefault="00B004B2" w:rsidP="00B004B2">
            <w:pPr>
              <w:spacing w:line="240" w:lineRule="auto"/>
              <w:jc w:val="center"/>
              <w:textAlignment w:val="baseline"/>
              <w:rPr>
                <w:rFonts w:eastAsia="Times New Roman" w:cs="Arial"/>
                <w:b/>
                <w:sz w:val="14"/>
                <w:szCs w:val="14"/>
                <w:lang w:eastAsia="en-GB"/>
              </w:rPr>
            </w:pPr>
          </w:p>
        </w:tc>
        <w:tc>
          <w:tcPr>
            <w:tcW w:w="1533" w:type="dxa"/>
            <w:shd w:val="clear" w:color="auto" w:fill="F2F2F2" w:themeFill="background1" w:themeFillShade="F2"/>
            <w:vAlign w:val="center"/>
          </w:tcPr>
          <w:p w14:paraId="029CEB17" w14:textId="55EADA56" w:rsidR="00B004B2" w:rsidRPr="003058F5" w:rsidRDefault="00B004B2" w:rsidP="00B004B2">
            <w:pPr>
              <w:spacing w:line="240" w:lineRule="auto"/>
              <w:textAlignment w:val="baseline"/>
              <w:rPr>
                <w:rFonts w:eastAsia="Times New Roman" w:cs="Arial"/>
                <w:b/>
                <w:sz w:val="14"/>
                <w:szCs w:val="14"/>
              </w:rPr>
            </w:pPr>
            <w:r>
              <w:rPr>
                <w:b/>
                <w:sz w:val="14"/>
              </w:rPr>
              <w:t>Accès à</w:t>
            </w:r>
            <w:r w:rsidR="00767929">
              <w:rPr>
                <w:b/>
                <w:sz w:val="14"/>
              </w:rPr>
              <w:t> :</w:t>
            </w:r>
          </w:p>
        </w:tc>
        <w:tc>
          <w:tcPr>
            <w:tcW w:w="2755" w:type="dxa"/>
            <w:shd w:val="clear" w:color="auto" w:fill="F2F2F2" w:themeFill="background1" w:themeFillShade="F2"/>
            <w:vAlign w:val="center"/>
          </w:tcPr>
          <w:p w14:paraId="58F37086" w14:textId="75DFD976" w:rsidR="00B004B2" w:rsidRPr="003058F5" w:rsidRDefault="007B286F" w:rsidP="00B004B2">
            <w:pPr>
              <w:spacing w:line="240" w:lineRule="auto"/>
              <w:textAlignment w:val="baseline"/>
              <w:rPr>
                <w:rFonts w:eastAsia="Times New Roman" w:cs="Arial"/>
                <w:b/>
                <w:sz w:val="14"/>
                <w:szCs w:val="14"/>
              </w:rPr>
            </w:pPr>
            <w:r>
              <w:rPr>
                <w:b/>
                <w:sz w:val="22"/>
              </w:rPr>
              <w:t>Sans objet</w:t>
            </w:r>
          </w:p>
        </w:tc>
        <w:tc>
          <w:tcPr>
            <w:tcW w:w="4550" w:type="dxa"/>
            <w:vMerge/>
            <w:shd w:val="clear" w:color="auto" w:fill="F2F2F2" w:themeFill="background1" w:themeFillShade="F2"/>
            <w:vAlign w:val="center"/>
          </w:tcPr>
          <w:p w14:paraId="0E30B41B" w14:textId="77777777" w:rsidR="00B004B2" w:rsidRPr="003058F5" w:rsidRDefault="00B004B2" w:rsidP="00B004B2">
            <w:pPr>
              <w:spacing w:line="240" w:lineRule="auto"/>
              <w:jc w:val="center"/>
              <w:textAlignment w:val="baseline"/>
              <w:rPr>
                <w:rFonts w:eastAsia="Times New Roman" w:cs="Arial"/>
                <w:b/>
                <w:sz w:val="14"/>
                <w:szCs w:val="14"/>
                <w:lang w:eastAsia="en-GB"/>
              </w:rPr>
            </w:pPr>
          </w:p>
        </w:tc>
        <w:tc>
          <w:tcPr>
            <w:tcW w:w="1936" w:type="dxa"/>
            <w:vMerge/>
            <w:shd w:val="clear" w:color="auto" w:fill="F2F2F2" w:themeFill="background1" w:themeFillShade="F2"/>
            <w:vAlign w:val="center"/>
          </w:tcPr>
          <w:p w14:paraId="7D7A17BE" w14:textId="77777777" w:rsidR="00B004B2" w:rsidRPr="003058F5" w:rsidRDefault="00B004B2" w:rsidP="00B004B2">
            <w:pPr>
              <w:spacing w:line="240" w:lineRule="auto"/>
              <w:jc w:val="center"/>
              <w:textAlignment w:val="baseline"/>
              <w:rPr>
                <w:rFonts w:eastAsia="Times New Roman" w:cs="Arial"/>
                <w:b/>
                <w:bCs/>
                <w:sz w:val="14"/>
                <w:szCs w:val="14"/>
                <w:lang w:eastAsia="en-GB"/>
              </w:rPr>
            </w:pPr>
          </w:p>
        </w:tc>
        <w:tc>
          <w:tcPr>
            <w:tcW w:w="1948" w:type="dxa"/>
            <w:vMerge/>
            <w:shd w:val="clear" w:color="auto" w:fill="A6A6A6" w:themeFill="background1" w:themeFillShade="A6"/>
            <w:tcMar>
              <w:top w:w="113" w:type="dxa"/>
              <w:left w:w="113" w:type="dxa"/>
              <w:bottom w:w="113" w:type="dxa"/>
              <w:right w:w="113" w:type="dxa"/>
            </w:tcMar>
            <w:vAlign w:val="center"/>
          </w:tcPr>
          <w:p w14:paraId="4FEDCD1B" w14:textId="77777777" w:rsidR="00B004B2" w:rsidRPr="003058F5" w:rsidRDefault="00B004B2" w:rsidP="00B004B2">
            <w:pPr>
              <w:spacing w:line="240" w:lineRule="auto"/>
              <w:jc w:val="center"/>
              <w:textAlignment w:val="baseline"/>
              <w:rPr>
                <w:rFonts w:eastAsia="Times New Roman" w:cs="Arial"/>
                <w:b/>
                <w:bCs/>
                <w:color w:val="FFFFFF" w:themeColor="background1"/>
                <w:sz w:val="14"/>
                <w:szCs w:val="14"/>
                <w:lang w:eastAsia="en-GB"/>
              </w:rPr>
            </w:pPr>
          </w:p>
        </w:tc>
      </w:tr>
      <w:tr w:rsidR="00B004B2" w:rsidRPr="003058F5" w14:paraId="1E1BED9F" w14:textId="77777777" w:rsidTr="00B004B2">
        <w:trPr>
          <w:trHeight w:val="567"/>
        </w:trPr>
        <w:tc>
          <w:tcPr>
            <w:tcW w:w="14884" w:type="dxa"/>
            <w:gridSpan w:val="6"/>
            <w:shd w:val="clear" w:color="auto" w:fill="FFFFFF" w:themeFill="background1"/>
            <w:tcMar>
              <w:top w:w="113" w:type="dxa"/>
              <w:left w:w="113" w:type="dxa"/>
              <w:bottom w:w="113" w:type="dxa"/>
              <w:right w:w="113" w:type="dxa"/>
            </w:tcMar>
            <w:vAlign w:val="center"/>
            <w:hideMark/>
          </w:tcPr>
          <w:p w14:paraId="3A63B4CD" w14:textId="60D114EC" w:rsidR="002C4C82" w:rsidRPr="003058F5" w:rsidRDefault="00CD46B1" w:rsidP="009779B0">
            <w:pPr>
              <w:spacing w:line="276" w:lineRule="auto"/>
              <w:textAlignment w:val="baseline"/>
              <w:rPr>
                <w:rFonts w:eastAsia="Times New Roman" w:cs="Arial"/>
                <w:bCs/>
                <w:i/>
                <w:iCs/>
              </w:rPr>
            </w:pPr>
            <w:r>
              <w:rPr>
                <w:b/>
              </w:rPr>
              <w:t xml:space="preserve">Si vous investissez dans des </w:t>
            </w:r>
            <w:hyperlink r:id="rId47" w:history="1">
              <w:r>
                <w:rPr>
                  <w:rStyle w:val="Lienhypertexte"/>
                  <w:b/>
                </w:rPr>
                <w:t>matières premières</w:t>
              </w:r>
            </w:hyperlink>
            <w:r>
              <w:rPr>
                <w:b/>
              </w:rPr>
              <w:t xml:space="preserve"> ou d'autres classes d'actifs, soit directement, soit par le biais d'autres instruments financiers, veuillez donner un exemple de la manière dont vous </w:t>
            </w:r>
            <w:hyperlink r:id="rId48" w:history="1">
              <w:r>
                <w:rPr>
                  <w:rStyle w:val="Lienhypertexte"/>
                  <w:b/>
                </w:rPr>
                <w:t>prenez en compte les critères ESG majeurs</w:t>
              </w:r>
            </w:hyperlink>
            <w:r>
              <w:rPr>
                <w:b/>
              </w:rPr>
              <w:t xml:space="preserve"> dans votre recherche, votre stratégie d'investissement, votre dialogue ou votre processus de construction de portefeuille.</w:t>
            </w:r>
          </w:p>
        </w:tc>
      </w:tr>
      <w:tr w:rsidR="00B004B2" w:rsidRPr="003058F5" w14:paraId="7C6A065E" w14:textId="77777777" w:rsidTr="00F511BB">
        <w:trPr>
          <w:trHeight w:val="465"/>
        </w:trPr>
        <w:tc>
          <w:tcPr>
            <w:tcW w:w="14884" w:type="dxa"/>
            <w:gridSpan w:val="6"/>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3077BBBD" w14:textId="2DC70ACE" w:rsidR="00B004B2" w:rsidRPr="003058F5" w:rsidRDefault="00BA4595" w:rsidP="00F511BB">
            <w:pPr>
              <w:spacing w:line="276" w:lineRule="auto"/>
              <w:textAlignment w:val="baseline"/>
              <w:rPr>
                <w:rFonts w:eastAsia="Times New Roman" w:cs="Arial"/>
                <w:sz w:val="16"/>
                <w:szCs w:val="16"/>
              </w:rPr>
            </w:pPr>
            <w:r>
              <w:t>[Texte libre</w:t>
            </w:r>
            <w:r w:rsidR="00767929">
              <w:t> :</w:t>
            </w:r>
            <w:r>
              <w:t xml:space="preserve"> long]</w:t>
            </w:r>
          </w:p>
        </w:tc>
      </w:tr>
      <w:tr w:rsidR="00B004B2" w:rsidRPr="003058F5" w14:paraId="6660FF34" w14:textId="77777777" w:rsidTr="00B004B2">
        <w:trPr>
          <w:trHeight w:val="300"/>
        </w:trPr>
        <w:tc>
          <w:tcPr>
            <w:tcW w:w="14884" w:type="dxa"/>
            <w:gridSpan w:val="6"/>
            <w:tcBorders>
              <w:left w:val="nil"/>
              <w:right w:val="nil"/>
            </w:tcBorders>
            <w:shd w:val="clear" w:color="auto" w:fill="FFFFFF" w:themeFill="background1"/>
            <w:tcMar>
              <w:top w:w="0" w:type="dxa"/>
              <w:bottom w:w="0" w:type="dxa"/>
            </w:tcMar>
            <w:vAlign w:val="center"/>
          </w:tcPr>
          <w:p w14:paraId="0A8333A5" w14:textId="77777777" w:rsidR="00B004B2" w:rsidRPr="003058F5" w:rsidRDefault="00B004B2" w:rsidP="00B004B2">
            <w:pPr>
              <w:spacing w:line="240" w:lineRule="auto"/>
              <w:jc w:val="center"/>
              <w:textAlignment w:val="baseline"/>
              <w:rPr>
                <w:rStyle w:val="Lienhypertexte"/>
                <w:sz w:val="16"/>
                <w:szCs w:val="16"/>
              </w:rPr>
            </w:pPr>
          </w:p>
        </w:tc>
      </w:tr>
      <w:tr w:rsidR="00B004B2" w:rsidRPr="003058F5" w14:paraId="46D80424" w14:textId="77777777" w:rsidTr="00B004B2">
        <w:trPr>
          <w:trHeight w:val="300"/>
        </w:trPr>
        <w:tc>
          <w:tcPr>
            <w:tcW w:w="14884" w:type="dxa"/>
            <w:gridSpan w:val="6"/>
            <w:shd w:val="clear" w:color="auto" w:fill="0070C0"/>
            <w:vAlign w:val="center"/>
          </w:tcPr>
          <w:p w14:paraId="322B6BEC" w14:textId="77777777" w:rsidR="00B004B2" w:rsidRPr="003058F5" w:rsidRDefault="00B004B2" w:rsidP="00B004B2">
            <w:pPr>
              <w:rPr>
                <w:rStyle w:val="Lienhypertexte"/>
                <w:b/>
                <w:bCs/>
                <w:color w:val="FFFFFF" w:themeColor="background1"/>
                <w:sz w:val="18"/>
                <w:szCs w:val="18"/>
              </w:rPr>
            </w:pPr>
            <w:r>
              <w:rPr>
                <w:b/>
                <w:color w:val="FFFFFF" w:themeColor="background1"/>
                <w:sz w:val="18"/>
              </w:rPr>
              <w:t>Notes explicatives</w:t>
            </w:r>
          </w:p>
        </w:tc>
      </w:tr>
      <w:tr w:rsidR="00B004B2" w:rsidRPr="003058F5" w14:paraId="5DDC7297" w14:textId="77777777" w:rsidTr="0041111A">
        <w:trPr>
          <w:trHeight w:val="300"/>
        </w:trPr>
        <w:tc>
          <w:tcPr>
            <w:tcW w:w="2162" w:type="dxa"/>
            <w:shd w:val="clear" w:color="auto" w:fill="auto"/>
            <w:vAlign w:val="center"/>
          </w:tcPr>
          <w:p w14:paraId="6823B6E3" w14:textId="77777777" w:rsidR="00B004B2" w:rsidRPr="003058F5" w:rsidRDefault="00B004B2" w:rsidP="00B004B2">
            <w:pPr>
              <w:rPr>
                <w:rStyle w:val="Lienhypertexte"/>
                <w:b/>
                <w:sz w:val="16"/>
                <w:szCs w:val="16"/>
              </w:rPr>
            </w:pPr>
            <w:r>
              <w:rPr>
                <w:b/>
                <w:sz w:val="16"/>
              </w:rPr>
              <w:t>Objectif de l’indicateur</w:t>
            </w:r>
          </w:p>
        </w:tc>
        <w:tc>
          <w:tcPr>
            <w:tcW w:w="12722" w:type="dxa"/>
            <w:gridSpan w:val="5"/>
            <w:shd w:val="clear" w:color="auto" w:fill="auto"/>
            <w:vAlign w:val="center"/>
          </w:tcPr>
          <w:p w14:paraId="3D2C0C30" w14:textId="0D99E77A" w:rsidR="00B004B2" w:rsidRPr="003058F5" w:rsidRDefault="00B004B2" w:rsidP="00B004B2">
            <w:pPr>
              <w:rPr>
                <w:rStyle w:val="Lienhypertexte"/>
                <w:color w:val="000000" w:themeColor="text1"/>
                <w:sz w:val="16"/>
                <w:szCs w:val="16"/>
              </w:rPr>
            </w:pPr>
            <w:r>
              <w:rPr>
                <w:rStyle w:val="Lienhypertexte"/>
                <w:color w:val="000000" w:themeColor="text1"/>
                <w:sz w:val="16"/>
              </w:rPr>
              <w:t xml:space="preserve">Cet indicateur permet aux signataires de partager des pratiques et des expériences intéressantes, innovantes ou exemplaires et permet aux PRI de recueillir des preuves d'exemples. </w:t>
            </w:r>
          </w:p>
        </w:tc>
      </w:tr>
      <w:tr w:rsidR="00B004B2" w:rsidRPr="003058F5" w14:paraId="41B3069B" w14:textId="77777777" w:rsidTr="0041111A">
        <w:trPr>
          <w:trHeight w:val="300"/>
        </w:trPr>
        <w:tc>
          <w:tcPr>
            <w:tcW w:w="2162" w:type="dxa"/>
            <w:shd w:val="clear" w:color="auto" w:fill="auto"/>
            <w:vAlign w:val="center"/>
          </w:tcPr>
          <w:p w14:paraId="6D24ECEF" w14:textId="47F65A73" w:rsidR="00B004B2" w:rsidRPr="003058F5" w:rsidRDefault="004B4572" w:rsidP="00B004B2">
            <w:pPr>
              <w:rPr>
                <w:rStyle w:val="Lienhypertexte"/>
                <w:b/>
                <w:sz w:val="16"/>
                <w:szCs w:val="16"/>
              </w:rPr>
            </w:pPr>
            <w:r>
              <w:rPr>
                <w:b/>
                <w:sz w:val="16"/>
              </w:rPr>
              <w:t>Recommandations supplémentaires</w:t>
            </w:r>
            <w:r w:rsidR="00B004B2">
              <w:rPr>
                <w:b/>
                <w:sz w:val="16"/>
              </w:rPr>
              <w:t xml:space="preserve"> en matière de </w:t>
            </w:r>
            <w:proofErr w:type="spellStart"/>
            <w:r w:rsidR="00B004B2">
              <w:rPr>
                <w:b/>
                <w:sz w:val="16"/>
              </w:rPr>
              <w:t>reporting</w:t>
            </w:r>
            <w:proofErr w:type="spellEnd"/>
          </w:p>
        </w:tc>
        <w:tc>
          <w:tcPr>
            <w:tcW w:w="12722" w:type="dxa"/>
            <w:gridSpan w:val="5"/>
            <w:shd w:val="clear" w:color="auto" w:fill="auto"/>
            <w:vAlign w:val="center"/>
          </w:tcPr>
          <w:p w14:paraId="3CA2841C" w14:textId="4F2D6AE7" w:rsidR="00B004B2" w:rsidRPr="003058F5" w:rsidRDefault="00B004B2" w:rsidP="00B004B2">
            <w:pPr>
              <w:rPr>
                <w:rStyle w:val="Lienhypertexte"/>
                <w:color w:val="000000" w:themeColor="text1"/>
                <w:sz w:val="16"/>
                <w:szCs w:val="16"/>
              </w:rPr>
            </w:pPr>
            <w:r>
              <w:rPr>
                <w:rStyle w:val="Lienhypertexte"/>
                <w:color w:val="000000" w:themeColor="text1"/>
                <w:sz w:val="16"/>
              </w:rPr>
              <w:t xml:space="preserve">Les fonds spéculatifs comprennent une grande variété de stratégies d'investissement et de types d'actifs, y compris les matières premières </w:t>
            </w:r>
            <w:r w:rsidR="00FC3BD3">
              <w:rPr>
                <w:rStyle w:val="Lienhypertexte"/>
                <w:color w:val="000000" w:themeColor="text1"/>
                <w:sz w:val="16"/>
              </w:rPr>
              <w:t>« </w:t>
            </w:r>
            <w:r>
              <w:rPr>
                <w:rStyle w:val="Lienhypertexte"/>
                <w:color w:val="000000" w:themeColor="text1"/>
                <w:sz w:val="16"/>
              </w:rPr>
              <w:t>dures</w:t>
            </w:r>
            <w:r w:rsidR="00FC3BD3">
              <w:rPr>
                <w:rStyle w:val="Lienhypertexte"/>
                <w:color w:val="000000" w:themeColor="text1"/>
                <w:sz w:val="16"/>
              </w:rPr>
              <w:t> »</w:t>
            </w:r>
            <w:r>
              <w:rPr>
                <w:rStyle w:val="Lienhypertexte"/>
                <w:color w:val="000000" w:themeColor="text1"/>
                <w:sz w:val="16"/>
              </w:rPr>
              <w:t xml:space="preserve"> et les matières premières agricoles. Les PRI souhaitent préciser les pratiques relatives aux matières premières </w:t>
            </w:r>
            <w:r w:rsidR="00FC3BD3">
              <w:rPr>
                <w:rStyle w:val="Lienhypertexte"/>
                <w:color w:val="000000" w:themeColor="text1"/>
                <w:sz w:val="16"/>
              </w:rPr>
              <w:t>« </w:t>
            </w:r>
            <w:r>
              <w:rPr>
                <w:rStyle w:val="Lienhypertexte"/>
                <w:color w:val="000000" w:themeColor="text1"/>
                <w:sz w:val="16"/>
              </w:rPr>
              <w:t>dures</w:t>
            </w:r>
            <w:r w:rsidR="00FC3BD3">
              <w:rPr>
                <w:rStyle w:val="Lienhypertexte"/>
                <w:color w:val="000000" w:themeColor="text1"/>
                <w:sz w:val="16"/>
              </w:rPr>
              <w:t> »</w:t>
            </w:r>
            <w:r>
              <w:rPr>
                <w:rStyle w:val="Lienhypertexte"/>
                <w:color w:val="000000" w:themeColor="text1"/>
                <w:sz w:val="16"/>
              </w:rPr>
              <w:t xml:space="preserve"> et agricoles (ou aux dérivés liés à ces classes d'actifs) ou d’autres classes d’actifs relatives au Principe 1 (Nous tiendrons compte des enjeux ESG dans nos processus décisionnels et d’analyse des investissements) ou au Principe 2 (Nous serons des actionnaires actifs et tiendrons compte des enjeux ESG dans nos politiques et procédures en matière d’actionnariat) des PRI.</w:t>
            </w:r>
          </w:p>
        </w:tc>
      </w:tr>
      <w:tr w:rsidR="00B004B2" w:rsidRPr="003058F5" w14:paraId="3F632581" w14:textId="77777777" w:rsidTr="0041111A">
        <w:trPr>
          <w:trHeight w:val="300"/>
        </w:trPr>
        <w:tc>
          <w:tcPr>
            <w:tcW w:w="2162" w:type="dxa"/>
            <w:shd w:val="clear" w:color="auto" w:fill="auto"/>
            <w:vAlign w:val="center"/>
          </w:tcPr>
          <w:p w14:paraId="0C113962" w14:textId="77777777" w:rsidR="00B004B2" w:rsidRPr="003058F5" w:rsidRDefault="00B004B2" w:rsidP="00B004B2">
            <w:pPr>
              <w:rPr>
                <w:b/>
                <w:bCs/>
                <w:sz w:val="16"/>
                <w:szCs w:val="16"/>
              </w:rPr>
            </w:pPr>
            <w:r>
              <w:rPr>
                <w:b/>
                <w:sz w:val="16"/>
              </w:rPr>
              <w:t>Autres ressources</w:t>
            </w:r>
          </w:p>
        </w:tc>
        <w:tc>
          <w:tcPr>
            <w:tcW w:w="12722" w:type="dxa"/>
            <w:gridSpan w:val="5"/>
            <w:shd w:val="clear" w:color="auto" w:fill="auto"/>
            <w:vAlign w:val="center"/>
          </w:tcPr>
          <w:p w14:paraId="0BD32C9C" w14:textId="1C6B0A52" w:rsidR="00B004B2" w:rsidRPr="003058F5" w:rsidRDefault="008F7EBA" w:rsidP="00B004B2">
            <w:pPr>
              <w:rPr>
                <w:rStyle w:val="Lienhypertexte"/>
                <w:color w:val="000000" w:themeColor="text1"/>
              </w:rPr>
            </w:pPr>
            <w:r>
              <w:rPr>
                <w:rStyle w:val="Lienhypertexte"/>
                <w:color w:val="000000" w:themeColor="text1"/>
                <w:sz w:val="16"/>
              </w:rPr>
              <w:t xml:space="preserve">Pour de plus amples informations, veuillez consulter le document des PRI intitulé </w:t>
            </w:r>
            <w:hyperlink r:id="rId49" w:history="1">
              <w:proofErr w:type="spellStart"/>
              <w:r>
                <w:rPr>
                  <w:rStyle w:val="Lienhypertexte"/>
                  <w:sz w:val="16"/>
                </w:rPr>
                <w:t>Technical</w:t>
              </w:r>
              <w:proofErr w:type="spellEnd"/>
              <w:r>
                <w:rPr>
                  <w:rStyle w:val="Lienhypertexte"/>
                  <w:sz w:val="16"/>
                </w:rPr>
                <w:t xml:space="preserve"> </w:t>
              </w:r>
              <w:proofErr w:type="spellStart"/>
              <w:r>
                <w:rPr>
                  <w:rStyle w:val="Lienhypertexte"/>
                  <w:sz w:val="16"/>
                </w:rPr>
                <w:t>guide:</w:t>
              </w:r>
            </w:hyperlink>
            <w:hyperlink r:id="rId50" w:history="1">
              <w:r>
                <w:rPr>
                  <w:rStyle w:val="Lienhypertexte"/>
                  <w:sz w:val="16"/>
                </w:rPr>
                <w:t>ESG</w:t>
              </w:r>
              <w:proofErr w:type="spellEnd"/>
              <w:r>
                <w:rPr>
                  <w:rStyle w:val="Lienhypertexte"/>
                  <w:sz w:val="16"/>
                </w:rPr>
                <w:t xml:space="preserve"> incorporation in </w:t>
              </w:r>
              <w:proofErr w:type="spellStart"/>
              <w:r>
                <w:rPr>
                  <w:rStyle w:val="Lienhypertexte"/>
                  <w:sz w:val="16"/>
                </w:rPr>
                <w:t>hedge</w:t>
              </w:r>
              <w:proofErr w:type="spellEnd"/>
              <w:r>
                <w:rPr>
                  <w:rStyle w:val="Lienhypertexte"/>
                  <w:sz w:val="16"/>
                </w:rPr>
                <w:t xml:space="preserve"> </w:t>
              </w:r>
              <w:proofErr w:type="spellStart"/>
              <w:r>
                <w:rPr>
                  <w:rStyle w:val="Lienhypertexte"/>
                  <w:sz w:val="16"/>
                </w:rPr>
                <w:t>funds</w:t>
              </w:r>
              <w:proofErr w:type="spellEnd"/>
              <w:r>
                <w:rPr>
                  <w:rStyle w:val="Lienhypertexte"/>
                  <w:sz w:val="16"/>
                </w:rPr>
                <w:t xml:space="preserve"> (Guide technique</w:t>
              </w:r>
              <w:r w:rsidR="00767929">
                <w:rPr>
                  <w:rStyle w:val="Lienhypertexte"/>
                  <w:sz w:val="16"/>
                </w:rPr>
                <w:t> :</w:t>
              </w:r>
              <w:r>
                <w:rPr>
                  <w:rStyle w:val="Lienhypertexte"/>
                  <w:sz w:val="16"/>
                </w:rPr>
                <w:t xml:space="preserve"> la prise en compte des critères ESG dans les fonds spéculatifs (</w:t>
              </w:r>
              <w:proofErr w:type="spellStart"/>
              <w:r>
                <w:rPr>
                  <w:rStyle w:val="Lienhypertexte"/>
                  <w:i/>
                  <w:iCs/>
                  <w:sz w:val="16"/>
                </w:rPr>
                <w:t>hedge</w:t>
              </w:r>
              <w:proofErr w:type="spellEnd"/>
              <w:r>
                <w:rPr>
                  <w:rStyle w:val="Lienhypertexte"/>
                  <w:i/>
                  <w:iCs/>
                  <w:sz w:val="16"/>
                </w:rPr>
                <w:t xml:space="preserve"> </w:t>
              </w:r>
              <w:proofErr w:type="spellStart"/>
              <w:r>
                <w:rPr>
                  <w:rStyle w:val="Lienhypertexte"/>
                  <w:i/>
                  <w:iCs/>
                  <w:sz w:val="16"/>
                </w:rPr>
                <w:t>funds</w:t>
              </w:r>
              <w:proofErr w:type="spellEnd"/>
              <w:r>
                <w:rPr>
                  <w:rStyle w:val="Lienhypertexte"/>
                  <w:sz w:val="16"/>
                </w:rPr>
                <w:t>))</w:t>
              </w:r>
            </w:hyperlink>
            <w:r>
              <w:rPr>
                <w:rStyle w:val="Lienhypertexte"/>
                <w:color w:val="auto"/>
                <w:sz w:val="16"/>
              </w:rPr>
              <w:t>,</w:t>
            </w:r>
            <w:r>
              <w:rPr>
                <w:rStyle w:val="Lienhypertexte"/>
                <w:color w:val="000000" w:themeColor="text1"/>
                <w:sz w:val="16"/>
              </w:rPr>
              <w:t xml:space="preserve"> qui fournit un cadre aux sociétés de gestion pour prendre en compte les critères ESG majeurs dans les stratégies relatives aux fonds spéculatifs.</w:t>
            </w:r>
          </w:p>
        </w:tc>
      </w:tr>
      <w:tr w:rsidR="00B004B2" w:rsidRPr="003058F5" w14:paraId="059A4C86" w14:textId="77777777" w:rsidTr="00B004B2">
        <w:trPr>
          <w:trHeight w:val="300"/>
        </w:trPr>
        <w:tc>
          <w:tcPr>
            <w:tcW w:w="14884" w:type="dxa"/>
            <w:gridSpan w:val="6"/>
            <w:shd w:val="clear" w:color="auto" w:fill="0070C0"/>
            <w:vAlign w:val="center"/>
          </w:tcPr>
          <w:p w14:paraId="44838BE3" w14:textId="77777777" w:rsidR="00B004B2" w:rsidRPr="003058F5" w:rsidRDefault="00B004B2" w:rsidP="00B004B2">
            <w:pPr>
              <w:rPr>
                <w:color w:val="FFFFFF" w:themeColor="background1"/>
                <w:sz w:val="16"/>
                <w:szCs w:val="16"/>
              </w:rPr>
            </w:pPr>
            <w:r>
              <w:rPr>
                <w:b/>
                <w:color w:val="FFFFFF" w:themeColor="background1"/>
                <w:sz w:val="18"/>
              </w:rPr>
              <w:t>Logique</w:t>
            </w:r>
          </w:p>
        </w:tc>
      </w:tr>
      <w:tr w:rsidR="0041111A" w:rsidRPr="003058F5" w14:paraId="3799D0B4" w14:textId="77777777" w:rsidTr="0041111A">
        <w:trPr>
          <w:trHeight w:val="300"/>
        </w:trPr>
        <w:tc>
          <w:tcPr>
            <w:tcW w:w="2162" w:type="dxa"/>
            <w:shd w:val="clear" w:color="auto" w:fill="auto"/>
            <w:vAlign w:val="center"/>
          </w:tcPr>
          <w:p w14:paraId="0B7667FB" w14:textId="77777777" w:rsidR="0041111A" w:rsidRPr="003058F5" w:rsidRDefault="0041111A" w:rsidP="0041111A">
            <w:pPr>
              <w:rPr>
                <w:b/>
                <w:bCs/>
                <w:sz w:val="16"/>
                <w:szCs w:val="16"/>
              </w:rPr>
            </w:pPr>
            <w:r>
              <w:rPr>
                <w:b/>
                <w:sz w:val="16"/>
              </w:rPr>
              <w:t>Lien avec</w:t>
            </w:r>
          </w:p>
        </w:tc>
        <w:tc>
          <w:tcPr>
            <w:tcW w:w="12722" w:type="dxa"/>
            <w:gridSpan w:val="5"/>
            <w:shd w:val="clear" w:color="auto" w:fill="auto"/>
            <w:vAlign w:val="center"/>
          </w:tcPr>
          <w:p w14:paraId="587FBD9B" w14:textId="592FA284" w:rsidR="0041111A" w:rsidRPr="003058F5" w:rsidRDefault="00BA61E4" w:rsidP="0041111A">
            <w:pPr>
              <w:rPr>
                <w:color w:val="000000" w:themeColor="text1"/>
                <w:sz w:val="16"/>
                <w:szCs w:val="16"/>
              </w:rPr>
            </w:pPr>
            <w:r>
              <w:rPr>
                <w:color w:val="000000" w:themeColor="text1"/>
                <w:sz w:val="16"/>
              </w:rPr>
              <w:t>[OO 21]</w:t>
            </w:r>
          </w:p>
        </w:tc>
      </w:tr>
      <w:tr w:rsidR="00B004B2" w:rsidRPr="003058F5" w14:paraId="13136244" w14:textId="77777777" w:rsidTr="0041111A">
        <w:trPr>
          <w:trHeight w:val="300"/>
        </w:trPr>
        <w:tc>
          <w:tcPr>
            <w:tcW w:w="2162" w:type="dxa"/>
            <w:shd w:val="clear" w:color="auto" w:fill="auto"/>
            <w:vAlign w:val="center"/>
          </w:tcPr>
          <w:p w14:paraId="22E86AB9" w14:textId="77777777" w:rsidR="00B004B2" w:rsidRPr="003058F5" w:rsidRDefault="00B004B2" w:rsidP="00B004B2">
            <w:pPr>
              <w:rPr>
                <w:b/>
                <w:bCs/>
                <w:sz w:val="16"/>
                <w:szCs w:val="16"/>
              </w:rPr>
            </w:pPr>
            <w:r>
              <w:rPr>
                <w:b/>
                <w:sz w:val="16"/>
              </w:rPr>
              <w:t>Accès à</w:t>
            </w:r>
          </w:p>
        </w:tc>
        <w:tc>
          <w:tcPr>
            <w:tcW w:w="12722" w:type="dxa"/>
            <w:gridSpan w:val="5"/>
            <w:shd w:val="clear" w:color="auto" w:fill="auto"/>
            <w:vAlign w:val="center"/>
          </w:tcPr>
          <w:p w14:paraId="4953132C" w14:textId="2619FE0E" w:rsidR="00B004B2" w:rsidRPr="003058F5" w:rsidRDefault="007B286F" w:rsidP="00B004B2">
            <w:pPr>
              <w:rPr>
                <w:color w:val="000000" w:themeColor="text1"/>
                <w:sz w:val="16"/>
                <w:szCs w:val="16"/>
              </w:rPr>
            </w:pPr>
            <w:r>
              <w:rPr>
                <w:color w:val="000000" w:themeColor="text1"/>
                <w:sz w:val="16"/>
              </w:rPr>
              <w:t>Sans objet</w:t>
            </w:r>
          </w:p>
        </w:tc>
      </w:tr>
      <w:tr w:rsidR="00B004B2" w:rsidRPr="003058F5" w14:paraId="43AE2FC4" w14:textId="77777777" w:rsidTr="00B004B2">
        <w:trPr>
          <w:trHeight w:val="300"/>
        </w:trPr>
        <w:tc>
          <w:tcPr>
            <w:tcW w:w="14884" w:type="dxa"/>
            <w:gridSpan w:val="6"/>
            <w:shd w:val="clear" w:color="auto" w:fill="0070C0"/>
            <w:vAlign w:val="center"/>
          </w:tcPr>
          <w:p w14:paraId="69AD9807" w14:textId="77777777" w:rsidR="00B004B2" w:rsidRPr="003058F5" w:rsidRDefault="00B004B2" w:rsidP="00B004B2">
            <w:pPr>
              <w:rPr>
                <w:rFonts w:eastAsia="Times New Roman" w:cs="Arial"/>
                <w:b/>
                <w:bCs/>
                <w:color w:val="FFFFFF" w:themeColor="background1"/>
                <w:sz w:val="18"/>
                <w:szCs w:val="18"/>
              </w:rPr>
            </w:pPr>
            <w:r>
              <w:rPr>
                <w:b/>
                <w:color w:val="FFFFFF" w:themeColor="background1"/>
                <w:sz w:val="18"/>
              </w:rPr>
              <w:t>Évaluation</w:t>
            </w:r>
          </w:p>
        </w:tc>
      </w:tr>
      <w:tr w:rsidR="00B004B2" w:rsidRPr="003058F5" w14:paraId="0AE6B875" w14:textId="77777777" w:rsidTr="00B004B2">
        <w:trPr>
          <w:trHeight w:val="354"/>
        </w:trPr>
        <w:tc>
          <w:tcPr>
            <w:tcW w:w="14884" w:type="dxa"/>
            <w:gridSpan w:val="6"/>
            <w:shd w:val="clear" w:color="auto" w:fill="auto"/>
            <w:vAlign w:val="center"/>
          </w:tcPr>
          <w:p w14:paraId="0C6B4946" w14:textId="77777777" w:rsidR="00B004B2" w:rsidRPr="003058F5" w:rsidRDefault="00B004B2" w:rsidP="00B004B2">
            <w:pPr>
              <w:rPr>
                <w:bCs/>
                <w:sz w:val="16"/>
                <w:szCs w:val="16"/>
              </w:rPr>
            </w:pPr>
            <w:r>
              <w:rPr>
                <w:color w:val="000000" w:themeColor="text1"/>
                <w:sz w:val="16"/>
              </w:rPr>
              <w:t>Non soumis à évaluation</w:t>
            </w:r>
          </w:p>
        </w:tc>
      </w:tr>
    </w:tbl>
    <w:p w14:paraId="5B4CECF3" w14:textId="77777777" w:rsidR="00CE6374" w:rsidRPr="003058F5" w:rsidRDefault="00CE6374">
      <w:pPr>
        <w:spacing w:after="160" w:line="259" w:lineRule="auto"/>
        <w:rPr>
          <w:sz w:val="16"/>
          <w:szCs w:val="16"/>
        </w:rPr>
      </w:pPr>
      <w:r>
        <w:br w:type="page"/>
      </w:r>
    </w:p>
    <w:p w14:paraId="312B0177" w14:textId="4FABAE6B" w:rsidR="00CE6374" w:rsidRPr="003058F5" w:rsidRDefault="00CE6374" w:rsidP="00CE6374">
      <w:pPr>
        <w:pStyle w:val="Titre2"/>
        <w:tabs>
          <w:tab w:val="left" w:pos="12758"/>
        </w:tabs>
        <w:rPr>
          <w:rFonts w:eastAsia="MS PGothic" w:cs="Times New Roman"/>
          <w:caps w:val="0"/>
          <w:color w:val="auto"/>
          <w:sz w:val="20"/>
          <w:szCs w:val="20"/>
        </w:rPr>
      </w:pPr>
      <w:bookmarkStart w:id="18" w:name="_Toc128064110"/>
      <w:r>
        <w:lastRenderedPageBreak/>
        <w:t>Prise en compte des critères ESG dans la construction de portefeuille [HF 6]</w:t>
      </w:r>
      <w:bookmarkEnd w:id="18"/>
    </w:p>
    <w:tbl>
      <w:tblPr>
        <w:tblW w:w="14891"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Layout w:type="fixed"/>
        <w:tblCellMar>
          <w:top w:w="57" w:type="dxa"/>
          <w:left w:w="113" w:type="dxa"/>
          <w:bottom w:w="57" w:type="dxa"/>
          <w:right w:w="113" w:type="dxa"/>
        </w:tblCellMar>
        <w:tblLook w:val="04A0" w:firstRow="1" w:lastRow="0" w:firstColumn="1" w:lastColumn="0" w:noHBand="0" w:noVBand="1"/>
      </w:tblPr>
      <w:tblGrid>
        <w:gridCol w:w="1839"/>
        <w:gridCol w:w="1470"/>
        <w:gridCol w:w="1286"/>
        <w:gridCol w:w="1287"/>
        <w:gridCol w:w="79"/>
        <w:gridCol w:w="361"/>
        <w:gridCol w:w="329"/>
        <w:gridCol w:w="518"/>
        <w:gridCol w:w="1287"/>
        <w:gridCol w:w="1287"/>
        <w:gridCol w:w="880"/>
        <w:gridCol w:w="317"/>
        <w:gridCol w:w="90"/>
        <w:gridCol w:w="1287"/>
        <w:gridCol w:w="582"/>
        <w:gridCol w:w="705"/>
        <w:gridCol w:w="1272"/>
        <w:gridCol w:w="7"/>
        <w:gridCol w:w="8"/>
      </w:tblGrid>
      <w:tr w:rsidR="002F0D77" w:rsidRPr="003058F5" w14:paraId="2B51D0B7" w14:textId="77777777" w:rsidTr="000D6EB0">
        <w:trPr>
          <w:gridAfter w:val="1"/>
          <w:wAfter w:w="8" w:type="dxa"/>
          <w:trHeight w:val="367"/>
        </w:trPr>
        <w:tc>
          <w:tcPr>
            <w:tcW w:w="1839" w:type="dxa"/>
            <w:vMerge w:val="restart"/>
            <w:shd w:val="clear" w:color="auto" w:fill="DFF5F9"/>
            <w:vAlign w:val="center"/>
            <w:hideMark/>
          </w:tcPr>
          <w:p w14:paraId="59E40E3E" w14:textId="77777777" w:rsidR="00CE6374" w:rsidRPr="003058F5" w:rsidRDefault="00CE6374" w:rsidP="00CE6374">
            <w:pPr>
              <w:spacing w:line="240" w:lineRule="auto"/>
              <w:jc w:val="center"/>
              <w:textAlignment w:val="baseline"/>
              <w:rPr>
                <w:rFonts w:eastAsia="Times New Roman" w:cs="Arial"/>
                <w:b/>
                <w:sz w:val="14"/>
                <w:szCs w:val="14"/>
              </w:rPr>
            </w:pPr>
            <w:r>
              <w:rPr>
                <w:b/>
                <w:sz w:val="14"/>
              </w:rPr>
              <w:t>Identifiant de l’indicateur</w:t>
            </w:r>
          </w:p>
          <w:p w14:paraId="1D033C77" w14:textId="77777777" w:rsidR="00CE6374" w:rsidRPr="003058F5" w:rsidRDefault="00CE6374" w:rsidP="00CE6374">
            <w:pPr>
              <w:spacing w:line="240" w:lineRule="auto"/>
              <w:jc w:val="center"/>
              <w:textAlignment w:val="baseline"/>
              <w:rPr>
                <w:rFonts w:eastAsia="Times New Roman" w:cs="Arial"/>
                <w:b/>
                <w:sz w:val="14"/>
                <w:szCs w:val="14"/>
                <w:lang w:eastAsia="en-GB"/>
              </w:rPr>
            </w:pPr>
          </w:p>
          <w:p w14:paraId="20334FD7" w14:textId="1736995B" w:rsidR="00CE6374" w:rsidRPr="003058F5" w:rsidRDefault="00CE6374" w:rsidP="00CE6374">
            <w:pPr>
              <w:pStyle w:val="Indicatorsubsection"/>
              <w:rPr>
                <w:sz w:val="18"/>
                <w:szCs w:val="18"/>
              </w:rPr>
            </w:pPr>
            <w:bookmarkStart w:id="19" w:name="_Toc128064111"/>
            <w:r>
              <w:t>HF 6</w:t>
            </w:r>
            <w:bookmarkEnd w:id="19"/>
          </w:p>
        </w:tc>
        <w:tc>
          <w:tcPr>
            <w:tcW w:w="1470" w:type="dxa"/>
            <w:shd w:val="clear" w:color="auto" w:fill="DFF5F9"/>
            <w:vAlign w:val="center"/>
            <w:hideMark/>
          </w:tcPr>
          <w:p w14:paraId="6B8A9DD4" w14:textId="389EEF60" w:rsidR="00CE6374" w:rsidRPr="003058F5" w:rsidRDefault="00F61763" w:rsidP="00CE6374">
            <w:pPr>
              <w:spacing w:line="240" w:lineRule="auto"/>
              <w:textAlignment w:val="baseline"/>
              <w:rPr>
                <w:rFonts w:eastAsia="Times New Roman" w:cs="Arial"/>
                <w:sz w:val="14"/>
                <w:szCs w:val="14"/>
              </w:rPr>
            </w:pPr>
            <w:r>
              <w:rPr>
                <w:b/>
                <w:sz w:val="14"/>
              </w:rPr>
              <w:t xml:space="preserve">Lien avec : </w:t>
            </w:r>
          </w:p>
        </w:tc>
        <w:tc>
          <w:tcPr>
            <w:tcW w:w="3013" w:type="dxa"/>
            <w:gridSpan w:val="4"/>
            <w:shd w:val="clear" w:color="auto" w:fill="DFF5F9"/>
            <w:vAlign w:val="center"/>
          </w:tcPr>
          <w:p w14:paraId="3FD5CD18" w14:textId="137A8D67" w:rsidR="00CE6374" w:rsidRPr="003058F5" w:rsidRDefault="00BA61E4" w:rsidP="00CE6374">
            <w:pPr>
              <w:spacing w:line="240" w:lineRule="auto"/>
              <w:textAlignment w:val="baseline"/>
              <w:rPr>
                <w:rFonts w:eastAsia="Times New Roman" w:cs="Arial"/>
                <w:sz w:val="14"/>
                <w:szCs w:val="14"/>
              </w:rPr>
            </w:pPr>
            <w:r>
              <w:rPr>
                <w:b/>
                <w:sz w:val="22"/>
              </w:rPr>
              <w:t>OO 21</w:t>
            </w:r>
          </w:p>
        </w:tc>
        <w:tc>
          <w:tcPr>
            <w:tcW w:w="4618" w:type="dxa"/>
            <w:gridSpan w:val="6"/>
            <w:vMerge w:val="restart"/>
            <w:shd w:val="clear" w:color="auto" w:fill="DFF5F9"/>
            <w:vAlign w:val="center"/>
          </w:tcPr>
          <w:p w14:paraId="0829EDF6" w14:textId="77777777" w:rsidR="00CE6374" w:rsidRPr="003058F5" w:rsidRDefault="00CE6374" w:rsidP="00CE6374">
            <w:pPr>
              <w:spacing w:line="240" w:lineRule="auto"/>
              <w:jc w:val="center"/>
              <w:textAlignment w:val="baseline"/>
              <w:rPr>
                <w:rFonts w:eastAsia="Times New Roman" w:cs="Arial"/>
                <w:sz w:val="14"/>
                <w:szCs w:val="14"/>
              </w:rPr>
            </w:pPr>
            <w:r>
              <w:rPr>
                <w:b/>
                <w:sz w:val="14"/>
              </w:rPr>
              <w:t>Sous-section</w:t>
            </w:r>
            <w:r>
              <w:rPr>
                <w:sz w:val="14"/>
              </w:rPr>
              <w:t> </w:t>
            </w:r>
          </w:p>
          <w:p w14:paraId="4B9A9A7B" w14:textId="77777777" w:rsidR="00CE6374" w:rsidRPr="003058F5" w:rsidRDefault="00CE6374" w:rsidP="00CE6374">
            <w:pPr>
              <w:spacing w:line="240" w:lineRule="auto"/>
              <w:jc w:val="center"/>
              <w:textAlignment w:val="baseline"/>
              <w:rPr>
                <w:rFonts w:eastAsia="Times New Roman" w:cs="Arial"/>
                <w:sz w:val="14"/>
                <w:szCs w:val="14"/>
                <w:lang w:eastAsia="en-GB"/>
              </w:rPr>
            </w:pPr>
          </w:p>
          <w:p w14:paraId="05254FA8" w14:textId="6D4B1B0F" w:rsidR="00CE6374" w:rsidRPr="003058F5" w:rsidRDefault="00CE6374" w:rsidP="00CE6374">
            <w:pPr>
              <w:jc w:val="center"/>
              <w:rPr>
                <w:sz w:val="18"/>
                <w:szCs w:val="18"/>
              </w:rPr>
            </w:pPr>
            <w:r>
              <w:rPr>
                <w:b/>
                <w:sz w:val="22"/>
              </w:rPr>
              <w:t>Prise en compte des critères ESG dans la construction de portefeuille</w:t>
            </w:r>
          </w:p>
        </w:tc>
        <w:tc>
          <w:tcPr>
            <w:tcW w:w="1959" w:type="dxa"/>
            <w:gridSpan w:val="3"/>
            <w:vMerge w:val="restart"/>
            <w:shd w:val="clear" w:color="auto" w:fill="DFF5F9"/>
            <w:vAlign w:val="center"/>
            <w:hideMark/>
          </w:tcPr>
          <w:p w14:paraId="036D93E3" w14:textId="77777777" w:rsidR="00CE6374" w:rsidRPr="003058F5" w:rsidRDefault="00CE6374" w:rsidP="00CE6374">
            <w:pPr>
              <w:spacing w:line="240" w:lineRule="auto"/>
              <w:jc w:val="center"/>
              <w:textAlignment w:val="baseline"/>
              <w:rPr>
                <w:rFonts w:eastAsia="Times New Roman" w:cs="Arial"/>
                <w:b/>
                <w:bCs/>
                <w:sz w:val="14"/>
                <w:szCs w:val="14"/>
              </w:rPr>
            </w:pPr>
            <w:r>
              <w:rPr>
                <w:b/>
                <w:sz w:val="14"/>
              </w:rPr>
              <w:t>Principe des PRI</w:t>
            </w:r>
          </w:p>
          <w:p w14:paraId="1DCF1341" w14:textId="77777777" w:rsidR="00CE6374" w:rsidRPr="003058F5" w:rsidRDefault="00CE6374" w:rsidP="00CE6374">
            <w:pPr>
              <w:spacing w:line="240" w:lineRule="auto"/>
              <w:jc w:val="center"/>
              <w:textAlignment w:val="baseline"/>
              <w:rPr>
                <w:rFonts w:eastAsia="Times New Roman" w:cs="Arial"/>
                <w:b/>
                <w:bCs/>
                <w:sz w:val="14"/>
                <w:szCs w:val="14"/>
                <w:lang w:eastAsia="en-GB"/>
              </w:rPr>
            </w:pPr>
          </w:p>
          <w:p w14:paraId="2C226966" w14:textId="264E8C3F" w:rsidR="00CE6374" w:rsidRPr="003058F5" w:rsidRDefault="00CE6374" w:rsidP="00CE6374">
            <w:pPr>
              <w:spacing w:line="240" w:lineRule="auto"/>
              <w:jc w:val="center"/>
              <w:textAlignment w:val="baseline"/>
              <w:rPr>
                <w:rFonts w:eastAsia="Times New Roman" w:cs="Arial"/>
                <w:sz w:val="18"/>
                <w:szCs w:val="18"/>
              </w:rPr>
            </w:pPr>
            <w:r>
              <w:rPr>
                <w:b/>
                <w:sz w:val="22"/>
              </w:rPr>
              <w:t>1</w:t>
            </w:r>
          </w:p>
        </w:tc>
        <w:tc>
          <w:tcPr>
            <w:tcW w:w="1984" w:type="dxa"/>
            <w:gridSpan w:val="3"/>
            <w:vMerge w:val="restart"/>
            <w:shd w:val="clear" w:color="auto" w:fill="00B0F0"/>
            <w:tcMar>
              <w:top w:w="113" w:type="dxa"/>
              <w:left w:w="113" w:type="dxa"/>
              <w:bottom w:w="113" w:type="dxa"/>
              <w:right w:w="113" w:type="dxa"/>
            </w:tcMar>
            <w:vAlign w:val="center"/>
            <w:hideMark/>
          </w:tcPr>
          <w:p w14:paraId="3F323E27" w14:textId="77777777" w:rsidR="00CE6374" w:rsidRPr="003058F5" w:rsidRDefault="00CE6374" w:rsidP="00CE6374">
            <w:pPr>
              <w:spacing w:line="240" w:lineRule="auto"/>
              <w:jc w:val="center"/>
              <w:textAlignment w:val="baseline"/>
              <w:rPr>
                <w:rFonts w:eastAsia="Times New Roman" w:cs="Arial"/>
                <w:b/>
                <w:bCs/>
                <w:color w:val="FFFFFF" w:themeColor="background1"/>
                <w:sz w:val="14"/>
                <w:szCs w:val="14"/>
              </w:rPr>
            </w:pPr>
            <w:r>
              <w:rPr>
                <w:b/>
                <w:color w:val="FFFFFF" w:themeColor="background1"/>
                <w:sz w:val="14"/>
              </w:rPr>
              <w:t>Type d'indicateur</w:t>
            </w:r>
          </w:p>
          <w:p w14:paraId="05873EAE" w14:textId="77777777" w:rsidR="00CE6374" w:rsidRPr="003058F5" w:rsidRDefault="00CE6374" w:rsidP="00CE6374">
            <w:pPr>
              <w:spacing w:line="240" w:lineRule="auto"/>
              <w:jc w:val="center"/>
              <w:textAlignment w:val="baseline"/>
              <w:rPr>
                <w:rFonts w:eastAsia="Times New Roman" w:cs="Arial"/>
                <w:b/>
                <w:bCs/>
                <w:color w:val="FFFFFF" w:themeColor="background1"/>
                <w:sz w:val="14"/>
                <w:szCs w:val="14"/>
                <w:lang w:eastAsia="en-GB"/>
              </w:rPr>
            </w:pPr>
          </w:p>
          <w:p w14:paraId="307C4AE4" w14:textId="77777777" w:rsidR="00CE6374" w:rsidRPr="003058F5" w:rsidRDefault="00CE6374" w:rsidP="00CE6374">
            <w:pPr>
              <w:autoSpaceDE w:val="0"/>
              <w:autoSpaceDN w:val="0"/>
              <w:adjustRightInd w:val="0"/>
              <w:spacing w:line="240" w:lineRule="auto"/>
              <w:jc w:val="center"/>
              <w:rPr>
                <w:rFonts w:eastAsia="Times New Roman" w:cs="Arial"/>
                <w:color w:val="FFFFFF" w:themeColor="background1"/>
                <w:sz w:val="32"/>
                <w:szCs w:val="32"/>
              </w:rPr>
            </w:pPr>
            <w:r>
              <w:rPr>
                <w:b/>
                <w:color w:val="FFFFFF" w:themeColor="background1"/>
                <w:sz w:val="32"/>
              </w:rPr>
              <w:t>CORE</w:t>
            </w:r>
          </w:p>
        </w:tc>
      </w:tr>
      <w:tr w:rsidR="002F0D77" w:rsidRPr="003058F5" w14:paraId="7D65F3F6" w14:textId="77777777" w:rsidTr="000D6EB0">
        <w:trPr>
          <w:gridAfter w:val="1"/>
          <w:wAfter w:w="8" w:type="dxa"/>
          <w:trHeight w:val="367"/>
        </w:trPr>
        <w:tc>
          <w:tcPr>
            <w:tcW w:w="1839" w:type="dxa"/>
            <w:vMerge/>
            <w:shd w:val="clear" w:color="auto" w:fill="DFF5F9"/>
            <w:vAlign w:val="center"/>
          </w:tcPr>
          <w:p w14:paraId="7CC0C5AF" w14:textId="77777777" w:rsidR="00CE6374" w:rsidRPr="003058F5" w:rsidRDefault="00CE6374" w:rsidP="00CE6374">
            <w:pPr>
              <w:spacing w:line="240" w:lineRule="auto"/>
              <w:jc w:val="center"/>
              <w:textAlignment w:val="baseline"/>
              <w:rPr>
                <w:rFonts w:eastAsia="Times New Roman" w:cs="Arial"/>
                <w:b/>
                <w:sz w:val="14"/>
                <w:szCs w:val="14"/>
                <w:lang w:eastAsia="en-GB"/>
              </w:rPr>
            </w:pPr>
          </w:p>
        </w:tc>
        <w:tc>
          <w:tcPr>
            <w:tcW w:w="1470" w:type="dxa"/>
            <w:shd w:val="clear" w:color="auto" w:fill="DFF5F9"/>
            <w:vAlign w:val="center"/>
          </w:tcPr>
          <w:p w14:paraId="0A6CB62D" w14:textId="74BE4A07" w:rsidR="00CE6374" w:rsidRPr="003058F5" w:rsidRDefault="00CE6374" w:rsidP="00CE6374">
            <w:pPr>
              <w:spacing w:line="240" w:lineRule="auto"/>
              <w:textAlignment w:val="baseline"/>
              <w:rPr>
                <w:rFonts w:eastAsia="Times New Roman" w:cs="Arial"/>
                <w:b/>
                <w:sz w:val="14"/>
                <w:szCs w:val="14"/>
              </w:rPr>
            </w:pPr>
            <w:r>
              <w:rPr>
                <w:b/>
                <w:sz w:val="14"/>
              </w:rPr>
              <w:t>Accès à</w:t>
            </w:r>
            <w:r w:rsidR="00767929">
              <w:rPr>
                <w:b/>
                <w:sz w:val="14"/>
              </w:rPr>
              <w:t> :</w:t>
            </w:r>
          </w:p>
        </w:tc>
        <w:tc>
          <w:tcPr>
            <w:tcW w:w="3013" w:type="dxa"/>
            <w:gridSpan w:val="4"/>
            <w:shd w:val="clear" w:color="auto" w:fill="DFF5F9"/>
            <w:vAlign w:val="center"/>
          </w:tcPr>
          <w:p w14:paraId="07958988" w14:textId="4FDC02CE" w:rsidR="00CE6374" w:rsidRPr="003058F5" w:rsidRDefault="00E26D2C" w:rsidP="00CE6374">
            <w:pPr>
              <w:spacing w:line="240" w:lineRule="auto"/>
              <w:textAlignment w:val="baseline"/>
              <w:rPr>
                <w:rFonts w:eastAsia="Times New Roman" w:cs="Arial"/>
                <w:b/>
                <w:sz w:val="14"/>
                <w:szCs w:val="14"/>
              </w:rPr>
            </w:pPr>
            <w:r>
              <w:rPr>
                <w:b/>
                <w:sz w:val="22"/>
              </w:rPr>
              <w:t>Sans objet</w:t>
            </w:r>
          </w:p>
        </w:tc>
        <w:tc>
          <w:tcPr>
            <w:tcW w:w="4618" w:type="dxa"/>
            <w:gridSpan w:val="6"/>
            <w:vMerge/>
            <w:shd w:val="clear" w:color="auto" w:fill="DFF5F9"/>
            <w:vAlign w:val="center"/>
          </w:tcPr>
          <w:p w14:paraId="0EC9EE31" w14:textId="77777777" w:rsidR="00CE6374" w:rsidRPr="003058F5" w:rsidRDefault="00CE6374" w:rsidP="00CE6374">
            <w:pPr>
              <w:spacing w:line="240" w:lineRule="auto"/>
              <w:jc w:val="center"/>
              <w:textAlignment w:val="baseline"/>
              <w:rPr>
                <w:rFonts w:eastAsia="Times New Roman" w:cs="Arial"/>
                <w:b/>
                <w:sz w:val="14"/>
                <w:szCs w:val="14"/>
                <w:lang w:eastAsia="en-GB"/>
              </w:rPr>
            </w:pPr>
          </w:p>
        </w:tc>
        <w:tc>
          <w:tcPr>
            <w:tcW w:w="1959" w:type="dxa"/>
            <w:gridSpan w:val="3"/>
            <w:vMerge/>
            <w:shd w:val="clear" w:color="auto" w:fill="DFF5F9"/>
            <w:vAlign w:val="center"/>
          </w:tcPr>
          <w:p w14:paraId="73C381B9" w14:textId="77777777" w:rsidR="00CE6374" w:rsidRPr="003058F5" w:rsidRDefault="00CE6374" w:rsidP="00CE6374">
            <w:pPr>
              <w:spacing w:line="240" w:lineRule="auto"/>
              <w:jc w:val="center"/>
              <w:textAlignment w:val="baseline"/>
              <w:rPr>
                <w:rFonts w:eastAsia="Times New Roman" w:cs="Arial"/>
                <w:b/>
                <w:bCs/>
                <w:sz w:val="14"/>
                <w:szCs w:val="14"/>
                <w:lang w:eastAsia="en-GB"/>
              </w:rPr>
            </w:pPr>
          </w:p>
        </w:tc>
        <w:tc>
          <w:tcPr>
            <w:tcW w:w="1984" w:type="dxa"/>
            <w:gridSpan w:val="3"/>
            <w:vMerge/>
            <w:shd w:val="clear" w:color="auto" w:fill="00B0F0"/>
            <w:tcMar>
              <w:top w:w="113" w:type="dxa"/>
              <w:left w:w="113" w:type="dxa"/>
              <w:bottom w:w="113" w:type="dxa"/>
              <w:right w:w="113" w:type="dxa"/>
            </w:tcMar>
            <w:vAlign w:val="center"/>
          </w:tcPr>
          <w:p w14:paraId="2E5491B1" w14:textId="77777777" w:rsidR="00CE6374" w:rsidRPr="003058F5" w:rsidRDefault="00CE6374" w:rsidP="00CE6374">
            <w:pPr>
              <w:spacing w:line="240" w:lineRule="auto"/>
              <w:jc w:val="center"/>
              <w:textAlignment w:val="baseline"/>
              <w:rPr>
                <w:rFonts w:eastAsia="Times New Roman" w:cs="Arial"/>
                <w:b/>
                <w:bCs/>
                <w:color w:val="FFFFFF" w:themeColor="background1"/>
                <w:sz w:val="14"/>
                <w:szCs w:val="14"/>
                <w:lang w:eastAsia="en-GB"/>
              </w:rPr>
            </w:pPr>
          </w:p>
        </w:tc>
      </w:tr>
      <w:tr w:rsidR="00CE6374" w:rsidRPr="003058F5" w14:paraId="68197706" w14:textId="77777777" w:rsidTr="00F15919">
        <w:trPr>
          <w:gridAfter w:val="2"/>
          <w:wAfter w:w="15" w:type="dxa"/>
          <w:trHeight w:val="567"/>
        </w:trPr>
        <w:tc>
          <w:tcPr>
            <w:tcW w:w="14876" w:type="dxa"/>
            <w:gridSpan w:val="17"/>
            <w:shd w:val="clear" w:color="auto" w:fill="FFFFFF" w:themeFill="background1"/>
            <w:tcMar>
              <w:top w:w="113" w:type="dxa"/>
              <w:left w:w="113" w:type="dxa"/>
              <w:bottom w:w="113" w:type="dxa"/>
              <w:right w:w="113" w:type="dxa"/>
            </w:tcMar>
            <w:vAlign w:val="center"/>
            <w:hideMark/>
          </w:tcPr>
          <w:p w14:paraId="4B4D1B34" w14:textId="432AE933" w:rsidR="00CE6374" w:rsidRPr="003058F5" w:rsidRDefault="00CE6374" w:rsidP="00CE6374">
            <w:pPr>
              <w:spacing w:line="276" w:lineRule="auto"/>
              <w:textAlignment w:val="baseline"/>
              <w:rPr>
                <w:rFonts w:eastAsia="Times New Roman" w:cs="Arial"/>
              </w:rPr>
            </w:pPr>
            <w:r>
              <w:rPr>
                <w:b/>
              </w:rPr>
              <w:t xml:space="preserve">Comment les </w:t>
            </w:r>
            <w:hyperlink r:id="rId51" w:history="1">
              <w:r>
                <w:rPr>
                  <w:rStyle w:val="Lienhypertexte"/>
                  <w:b/>
                </w:rPr>
                <w:t>critères ESG majeurs</w:t>
              </w:r>
            </w:hyperlink>
            <w:r>
              <w:rPr>
                <w:b/>
              </w:rPr>
              <w:t xml:space="preserve"> contribuent-ils à votre processus de sélection de titres, de construction de portefeuille et/ou de sélection d'indices de référence</w:t>
            </w:r>
            <w:r w:rsidR="00767929">
              <w:rPr>
                <w:b/>
              </w:rPr>
              <w:t> ?</w:t>
            </w:r>
          </w:p>
        </w:tc>
      </w:tr>
      <w:tr w:rsidR="002F0D77" w:rsidRPr="003058F5" w14:paraId="4FE0ACE3" w14:textId="77777777" w:rsidTr="000D6EB0">
        <w:trPr>
          <w:gridAfter w:val="2"/>
          <w:wAfter w:w="15" w:type="dxa"/>
          <w:trHeight w:val="25"/>
        </w:trPr>
        <w:tc>
          <w:tcPr>
            <w:tcW w:w="3309" w:type="dxa"/>
            <w:gridSpan w:val="2"/>
            <w:shd w:val="clear" w:color="auto" w:fill="FFFFFF" w:themeFill="background1"/>
            <w:tcMar>
              <w:top w:w="113" w:type="dxa"/>
              <w:left w:w="113" w:type="dxa"/>
              <w:bottom w:w="113" w:type="dxa"/>
              <w:right w:w="113" w:type="dxa"/>
            </w:tcMar>
            <w:vAlign w:val="center"/>
            <w:hideMark/>
          </w:tcPr>
          <w:p w14:paraId="0A443352" w14:textId="77777777" w:rsidR="006B28E0" w:rsidRPr="003058F5" w:rsidRDefault="006B28E0" w:rsidP="00CE6374">
            <w:pPr>
              <w:spacing w:line="276" w:lineRule="auto"/>
              <w:textAlignment w:val="baseline"/>
              <w:rPr>
                <w:rFonts w:eastAsia="Times New Roman" w:cs="Arial"/>
                <w:szCs w:val="16"/>
                <w:lang w:eastAsia="en-GB"/>
              </w:rPr>
            </w:pPr>
          </w:p>
        </w:tc>
        <w:tc>
          <w:tcPr>
            <w:tcW w:w="11567" w:type="dxa"/>
            <w:gridSpan w:val="15"/>
            <w:tcBorders>
              <w:bottom w:val="single" w:sz="6" w:space="0" w:color="A6A6A6" w:themeColor="background1" w:themeShade="A6"/>
            </w:tcBorders>
            <w:shd w:val="clear" w:color="auto" w:fill="F2F2F2" w:themeFill="background1" w:themeFillShade="F2"/>
            <w:vAlign w:val="center"/>
          </w:tcPr>
          <w:p w14:paraId="33F818EB" w14:textId="22F0AEB7" w:rsidR="006B28E0" w:rsidRPr="003058F5" w:rsidRDefault="00131ACE" w:rsidP="00C36843">
            <w:pPr>
              <w:spacing w:line="276" w:lineRule="auto"/>
              <w:jc w:val="center"/>
              <w:textAlignment w:val="baseline"/>
              <w:rPr>
                <w:rFonts w:eastAsia="Times New Roman" w:cs="Arial"/>
                <w:b/>
                <w:szCs w:val="16"/>
              </w:rPr>
            </w:pPr>
            <w:r>
              <w:rPr>
                <w:b/>
              </w:rPr>
              <w:t>Stratégies relatives aux fonds spéculatifs gérés en interne</w:t>
            </w:r>
          </w:p>
        </w:tc>
      </w:tr>
      <w:tr w:rsidR="00BE0934" w:rsidRPr="003058F5" w14:paraId="7CF9F23F" w14:textId="77777777" w:rsidTr="00BE0934">
        <w:trPr>
          <w:trHeight w:val="465"/>
        </w:trPr>
        <w:tc>
          <w:tcPr>
            <w:tcW w:w="3309"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3BF1AD9B" w14:textId="77777777" w:rsidR="006B28E0" w:rsidRPr="003058F5" w:rsidRDefault="006B28E0" w:rsidP="00CE6374">
            <w:pPr>
              <w:spacing w:line="276" w:lineRule="auto"/>
              <w:textAlignment w:val="baseline"/>
              <w:rPr>
                <w:rFonts w:eastAsia="Times New Roman" w:cs="Arial"/>
                <w:szCs w:val="16"/>
                <w:lang w:eastAsia="en-GB"/>
              </w:rPr>
            </w:pPr>
          </w:p>
        </w:tc>
        <w:tc>
          <w:tcPr>
            <w:tcW w:w="1286" w:type="dxa"/>
            <w:shd w:val="clear" w:color="auto" w:fill="EDEDED" w:themeFill="accent3" w:themeFillTint="33"/>
            <w:vAlign w:val="center"/>
          </w:tcPr>
          <w:p w14:paraId="17B495DD" w14:textId="066B5B94" w:rsidR="008819D9" w:rsidRPr="003058F5" w:rsidRDefault="008819D9" w:rsidP="00C36843">
            <w:pPr>
              <w:spacing w:line="276" w:lineRule="auto"/>
              <w:jc w:val="center"/>
              <w:textAlignment w:val="baseline"/>
              <w:rPr>
                <w:rFonts w:eastAsia="Times New Roman" w:cs="Arial"/>
                <w:b/>
                <w:sz w:val="18"/>
                <w:szCs w:val="14"/>
              </w:rPr>
            </w:pPr>
            <w:r>
              <w:rPr>
                <w:b/>
                <w:sz w:val="18"/>
              </w:rPr>
              <w:t>Toutes les stratégies</w:t>
            </w:r>
          </w:p>
        </w:tc>
        <w:tc>
          <w:tcPr>
            <w:tcW w:w="1287" w:type="dxa"/>
            <w:shd w:val="clear" w:color="auto" w:fill="FFFFFF" w:themeFill="background1"/>
            <w:vAlign w:val="center"/>
          </w:tcPr>
          <w:p w14:paraId="419DFA56" w14:textId="35AC3991" w:rsidR="006B28E0" w:rsidRPr="003058F5" w:rsidRDefault="00243AD8" w:rsidP="00C36843">
            <w:pPr>
              <w:spacing w:line="276" w:lineRule="auto"/>
              <w:jc w:val="center"/>
              <w:textAlignment w:val="baseline"/>
              <w:rPr>
                <w:rFonts w:eastAsia="Times New Roman" w:cs="Arial"/>
                <w:b/>
                <w:sz w:val="18"/>
                <w:szCs w:val="14"/>
              </w:rPr>
            </w:pPr>
            <w:r>
              <w:rPr>
                <w:b/>
                <w:sz w:val="18"/>
              </w:rPr>
              <w:t xml:space="preserve">(1) </w:t>
            </w:r>
            <w:hyperlink r:id="rId52" w:history="1">
              <w:r>
                <w:rPr>
                  <w:rStyle w:val="Lienhypertexte"/>
                  <w:b/>
                  <w:sz w:val="18"/>
                </w:rPr>
                <w:t>Multi-stratégies</w:t>
              </w:r>
            </w:hyperlink>
          </w:p>
        </w:tc>
        <w:tc>
          <w:tcPr>
            <w:tcW w:w="1287" w:type="dxa"/>
            <w:gridSpan w:val="4"/>
            <w:tcBorders>
              <w:bottom w:val="single" w:sz="6" w:space="0" w:color="A6A6A6" w:themeColor="background1" w:themeShade="A6"/>
            </w:tcBorders>
            <w:shd w:val="clear" w:color="auto" w:fill="FFFFFF" w:themeFill="background1"/>
            <w:vAlign w:val="center"/>
          </w:tcPr>
          <w:p w14:paraId="649985B7" w14:textId="2B293BCE" w:rsidR="006B28E0" w:rsidRPr="003058F5" w:rsidRDefault="00243AD8" w:rsidP="00C36843">
            <w:pPr>
              <w:spacing w:line="276" w:lineRule="auto"/>
              <w:jc w:val="center"/>
              <w:textAlignment w:val="baseline"/>
              <w:rPr>
                <w:rFonts w:eastAsia="Times New Roman" w:cs="Arial"/>
                <w:b/>
                <w:sz w:val="18"/>
                <w:szCs w:val="14"/>
              </w:rPr>
            </w:pPr>
            <w:r>
              <w:rPr>
                <w:b/>
                <w:sz w:val="18"/>
              </w:rPr>
              <w:t xml:space="preserve">(2) </w:t>
            </w:r>
            <w:r>
              <w:t xml:space="preserve">Stratégies </w:t>
            </w:r>
            <w:hyperlink r:id="rId53" w:history="1">
              <w:r>
                <w:rPr>
                  <w:rStyle w:val="Lienhypertexte"/>
                  <w:b/>
                  <w:sz w:val="18"/>
                </w:rPr>
                <w:t>long/short actions</w:t>
              </w:r>
            </w:hyperlink>
          </w:p>
        </w:tc>
        <w:tc>
          <w:tcPr>
            <w:tcW w:w="1287" w:type="dxa"/>
            <w:tcBorders>
              <w:bottom w:val="single" w:sz="6" w:space="0" w:color="A6A6A6" w:themeColor="background1" w:themeShade="A6"/>
            </w:tcBorders>
            <w:shd w:val="clear" w:color="auto" w:fill="FFFFFF" w:themeFill="background1"/>
            <w:vAlign w:val="center"/>
          </w:tcPr>
          <w:p w14:paraId="70AB9A77" w14:textId="67E8164A" w:rsidR="006B28E0" w:rsidRPr="003058F5" w:rsidRDefault="00243AD8" w:rsidP="00C36843">
            <w:pPr>
              <w:spacing w:line="276" w:lineRule="auto"/>
              <w:jc w:val="center"/>
              <w:textAlignment w:val="baseline"/>
              <w:rPr>
                <w:rFonts w:eastAsia="Times New Roman" w:cs="Arial"/>
                <w:b/>
                <w:sz w:val="18"/>
                <w:szCs w:val="14"/>
              </w:rPr>
            </w:pPr>
            <w:r>
              <w:rPr>
                <w:b/>
                <w:sz w:val="18"/>
              </w:rPr>
              <w:t xml:space="preserve">(3) </w:t>
            </w:r>
            <w:r>
              <w:rPr>
                <w:b/>
                <w:bCs/>
                <w:sz w:val="18"/>
              </w:rPr>
              <w:t>Stratégies</w:t>
            </w:r>
            <w:r>
              <w:rPr>
                <w:b/>
                <w:sz w:val="18"/>
              </w:rPr>
              <w:t xml:space="preserve"> </w:t>
            </w:r>
            <w:hyperlink r:id="rId54" w:history="1">
              <w:r>
                <w:rPr>
                  <w:rStyle w:val="Lienhypertexte"/>
                  <w:b/>
                  <w:sz w:val="18"/>
                </w:rPr>
                <w:t>long/short crédit</w:t>
              </w:r>
            </w:hyperlink>
          </w:p>
        </w:tc>
        <w:tc>
          <w:tcPr>
            <w:tcW w:w="1287" w:type="dxa"/>
            <w:tcBorders>
              <w:bottom w:val="single" w:sz="6" w:space="0" w:color="A6A6A6" w:themeColor="background1" w:themeShade="A6"/>
            </w:tcBorders>
            <w:shd w:val="clear" w:color="auto" w:fill="FFFFFF" w:themeFill="background1"/>
            <w:vAlign w:val="center"/>
          </w:tcPr>
          <w:p w14:paraId="0251B109" w14:textId="4DAC0786" w:rsidR="006B28E0" w:rsidRPr="003058F5" w:rsidRDefault="00243AD8" w:rsidP="00C36843">
            <w:pPr>
              <w:spacing w:line="276" w:lineRule="auto"/>
              <w:jc w:val="center"/>
              <w:textAlignment w:val="baseline"/>
              <w:rPr>
                <w:rFonts w:eastAsia="Times New Roman" w:cs="Arial"/>
                <w:b/>
                <w:sz w:val="18"/>
                <w:szCs w:val="14"/>
              </w:rPr>
            </w:pPr>
            <w:r>
              <w:rPr>
                <w:b/>
                <w:sz w:val="18"/>
              </w:rPr>
              <w:t xml:space="preserve">(4) </w:t>
            </w:r>
            <w:hyperlink r:id="rId55" w:history="1">
              <w:r>
                <w:rPr>
                  <w:rStyle w:val="Lienhypertexte"/>
                  <w:b/>
                  <w:sz w:val="18"/>
                </w:rPr>
                <w:t>Dette décotée (</w:t>
              </w:r>
              <w:proofErr w:type="spellStart"/>
              <w:r>
                <w:rPr>
                  <w:rStyle w:val="Lienhypertexte"/>
                  <w:b/>
                  <w:i/>
                  <w:iCs/>
                  <w:sz w:val="18"/>
                </w:rPr>
                <w:t>distressed</w:t>
              </w:r>
              <w:proofErr w:type="spellEnd"/>
              <w:r>
                <w:rPr>
                  <w:rStyle w:val="Lienhypertexte"/>
                  <w:b/>
                  <w:sz w:val="18"/>
                </w:rPr>
                <w:t>), situations spéciales et stratégie fondamentale faisant suite à un événement</w:t>
              </w:r>
            </w:hyperlink>
          </w:p>
        </w:tc>
        <w:tc>
          <w:tcPr>
            <w:tcW w:w="1287" w:type="dxa"/>
            <w:gridSpan w:val="3"/>
            <w:tcBorders>
              <w:bottom w:val="single" w:sz="6" w:space="0" w:color="A6A6A6" w:themeColor="background1" w:themeShade="A6"/>
            </w:tcBorders>
            <w:shd w:val="clear" w:color="auto" w:fill="FFFFFF" w:themeFill="background1"/>
            <w:vAlign w:val="center"/>
          </w:tcPr>
          <w:p w14:paraId="130145AB" w14:textId="5BA97612" w:rsidR="006B28E0" w:rsidRPr="003058F5" w:rsidRDefault="00243AD8" w:rsidP="00C36843">
            <w:pPr>
              <w:spacing w:line="276" w:lineRule="auto"/>
              <w:jc w:val="center"/>
              <w:textAlignment w:val="baseline"/>
              <w:rPr>
                <w:rFonts w:eastAsia="Times New Roman" w:cs="Arial"/>
                <w:b/>
                <w:sz w:val="18"/>
                <w:szCs w:val="14"/>
              </w:rPr>
            </w:pPr>
            <w:r>
              <w:rPr>
                <w:b/>
                <w:sz w:val="18"/>
              </w:rPr>
              <w:t xml:space="preserve">(5) </w:t>
            </w:r>
            <w:hyperlink r:id="rId56" w:history="1">
              <w:r>
                <w:rPr>
                  <w:rStyle w:val="Lienhypertexte"/>
                  <w:b/>
                  <w:sz w:val="18"/>
                </w:rPr>
                <w:t>Crédit structuré</w:t>
              </w:r>
            </w:hyperlink>
          </w:p>
        </w:tc>
        <w:tc>
          <w:tcPr>
            <w:tcW w:w="1287" w:type="dxa"/>
            <w:tcBorders>
              <w:bottom w:val="single" w:sz="6" w:space="0" w:color="A6A6A6" w:themeColor="background1" w:themeShade="A6"/>
            </w:tcBorders>
            <w:shd w:val="clear" w:color="auto" w:fill="FFFFFF" w:themeFill="background1"/>
            <w:vAlign w:val="center"/>
          </w:tcPr>
          <w:p w14:paraId="32DA68B9" w14:textId="3FF647CD" w:rsidR="006B28E0" w:rsidRPr="003058F5" w:rsidRDefault="00243AD8" w:rsidP="00C36843">
            <w:pPr>
              <w:spacing w:line="276" w:lineRule="auto"/>
              <w:jc w:val="center"/>
              <w:textAlignment w:val="baseline"/>
              <w:rPr>
                <w:rFonts w:eastAsia="Times New Roman" w:cs="Arial"/>
                <w:b/>
                <w:sz w:val="18"/>
                <w:szCs w:val="14"/>
              </w:rPr>
            </w:pPr>
            <w:r>
              <w:rPr>
                <w:b/>
                <w:sz w:val="18"/>
              </w:rPr>
              <w:t xml:space="preserve">(6) </w:t>
            </w:r>
            <w:r>
              <w:t xml:space="preserve">Stratégies </w:t>
            </w:r>
            <w:r w:rsidR="00FC3BD3">
              <w:t>« </w:t>
            </w:r>
            <w:hyperlink r:id="rId57" w:history="1">
              <w:r>
                <w:rPr>
                  <w:rStyle w:val="Lienhypertexte"/>
                  <w:b/>
                  <w:sz w:val="18"/>
                </w:rPr>
                <w:t>Global macro</w:t>
              </w:r>
            </w:hyperlink>
            <w:r w:rsidR="00FC3BD3">
              <w:t> »</w:t>
            </w:r>
          </w:p>
        </w:tc>
        <w:tc>
          <w:tcPr>
            <w:tcW w:w="1287" w:type="dxa"/>
            <w:gridSpan w:val="2"/>
            <w:tcBorders>
              <w:bottom w:val="single" w:sz="6" w:space="0" w:color="A6A6A6" w:themeColor="background1" w:themeShade="A6"/>
            </w:tcBorders>
            <w:shd w:val="clear" w:color="auto" w:fill="FFFFFF" w:themeFill="background1"/>
            <w:vAlign w:val="center"/>
          </w:tcPr>
          <w:p w14:paraId="7FF04324" w14:textId="5F302054" w:rsidR="006B28E0" w:rsidRPr="003058F5" w:rsidRDefault="00243AD8" w:rsidP="00C36843">
            <w:pPr>
              <w:spacing w:line="276" w:lineRule="auto"/>
              <w:jc w:val="center"/>
              <w:textAlignment w:val="baseline"/>
              <w:rPr>
                <w:rFonts w:eastAsia="Times New Roman" w:cs="Arial"/>
                <w:b/>
                <w:sz w:val="18"/>
                <w:szCs w:val="14"/>
              </w:rPr>
            </w:pPr>
            <w:r>
              <w:rPr>
                <w:b/>
                <w:sz w:val="18"/>
              </w:rPr>
              <w:t xml:space="preserve">(7) </w:t>
            </w:r>
            <w:hyperlink r:id="rId58" w:history="1">
              <w:r>
                <w:rPr>
                  <w:rStyle w:val="Lienhypertexte"/>
                  <w:b/>
                  <w:sz w:val="18"/>
                </w:rPr>
                <w:t>Stratégies de CTA (</w:t>
              </w:r>
              <w:proofErr w:type="spellStart"/>
              <w:r>
                <w:rPr>
                  <w:rStyle w:val="Lienhypertexte"/>
                  <w:b/>
                  <w:i/>
                  <w:iCs/>
                  <w:sz w:val="18"/>
                </w:rPr>
                <w:t>Commodity</w:t>
              </w:r>
              <w:proofErr w:type="spellEnd"/>
              <w:r>
                <w:rPr>
                  <w:rStyle w:val="Lienhypertexte"/>
                  <w:b/>
                  <w:i/>
                  <w:iCs/>
                  <w:sz w:val="18"/>
                </w:rPr>
                <w:t xml:space="preserve"> trading </w:t>
              </w:r>
              <w:proofErr w:type="spellStart"/>
              <w:r>
                <w:rPr>
                  <w:rStyle w:val="Lienhypertexte"/>
                  <w:b/>
                  <w:i/>
                  <w:iCs/>
                  <w:sz w:val="18"/>
                </w:rPr>
                <w:t>advisor</w:t>
              </w:r>
              <w:proofErr w:type="spellEnd"/>
              <w:r>
                <w:rPr>
                  <w:rStyle w:val="Lienhypertexte"/>
                  <w:b/>
                  <w:sz w:val="18"/>
                </w:rPr>
                <w:t>)</w:t>
              </w:r>
            </w:hyperlink>
          </w:p>
        </w:tc>
        <w:tc>
          <w:tcPr>
            <w:tcW w:w="1287" w:type="dxa"/>
            <w:gridSpan w:val="3"/>
            <w:tcBorders>
              <w:bottom w:val="single" w:sz="6" w:space="0" w:color="A6A6A6" w:themeColor="background1" w:themeShade="A6"/>
            </w:tcBorders>
            <w:shd w:val="clear" w:color="auto" w:fill="FFFFFF" w:themeFill="background1"/>
            <w:vAlign w:val="center"/>
          </w:tcPr>
          <w:p w14:paraId="3F4CB649" w14:textId="1671E967" w:rsidR="006B28E0" w:rsidRPr="003058F5" w:rsidRDefault="00243AD8" w:rsidP="00C36843">
            <w:pPr>
              <w:spacing w:line="276" w:lineRule="auto"/>
              <w:jc w:val="center"/>
              <w:textAlignment w:val="baseline"/>
              <w:rPr>
                <w:rFonts w:eastAsia="Times New Roman" w:cs="Arial"/>
                <w:b/>
                <w:sz w:val="18"/>
                <w:szCs w:val="14"/>
              </w:rPr>
            </w:pPr>
            <w:r>
              <w:rPr>
                <w:b/>
                <w:sz w:val="18"/>
              </w:rPr>
              <w:t>(8) Autres stratégies</w:t>
            </w:r>
          </w:p>
        </w:tc>
      </w:tr>
      <w:tr w:rsidR="00BE0934" w:rsidRPr="003058F5" w14:paraId="4C1692C7" w14:textId="77777777" w:rsidTr="00BE0934">
        <w:trPr>
          <w:trHeight w:val="465"/>
        </w:trPr>
        <w:tc>
          <w:tcPr>
            <w:tcW w:w="3309"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63C7B9D2" w14:textId="3876DE6B" w:rsidR="008A4716" w:rsidRPr="003058F5" w:rsidRDefault="00711D6D" w:rsidP="00F511BB">
            <w:pPr>
              <w:spacing w:line="276" w:lineRule="auto"/>
              <w:textAlignment w:val="baseline"/>
              <w:rPr>
                <w:rFonts w:eastAsia="Times New Roman" w:cs="Arial"/>
                <w:szCs w:val="16"/>
              </w:rPr>
            </w:pPr>
            <w:r>
              <w:t>(A) Les critères ESG majeurs contribuent à la sélection d'actifs individuels et d’instruments financiers dans le cadre de notre processus de construction de portefeuille et/ou de sélection d'indices de référence</w:t>
            </w:r>
          </w:p>
        </w:tc>
        <w:tc>
          <w:tcPr>
            <w:tcW w:w="1286" w:type="dxa"/>
            <w:shd w:val="clear" w:color="auto" w:fill="EDEDED" w:themeFill="accent3" w:themeFillTint="33"/>
            <w:vAlign w:val="center"/>
          </w:tcPr>
          <w:p w14:paraId="1F233C8B" w14:textId="6F540C63" w:rsidR="008819D9" w:rsidRDefault="008819D9" w:rsidP="008819D9">
            <w:pPr>
              <w:spacing w:line="276" w:lineRule="auto"/>
              <w:textAlignment w:val="baseline"/>
              <w:rPr>
                <w:rFonts w:eastAsia="Times New Roman" w:cs="Arial"/>
              </w:rPr>
            </w:pPr>
            <w:r>
              <w:t>[Liste déroulante]</w:t>
            </w:r>
          </w:p>
          <w:p w14:paraId="066C2762" w14:textId="77777777" w:rsidR="003C0436" w:rsidRPr="003058F5" w:rsidRDefault="003C0436" w:rsidP="008819D9">
            <w:pPr>
              <w:spacing w:line="276" w:lineRule="auto"/>
              <w:textAlignment w:val="baseline"/>
              <w:rPr>
                <w:rFonts w:eastAsia="Times New Roman" w:cs="Arial"/>
                <w:lang w:eastAsia="en-GB"/>
              </w:rPr>
            </w:pPr>
          </w:p>
          <w:p w14:paraId="25D65433" w14:textId="77777777" w:rsidR="008819D9" w:rsidRPr="003058F5" w:rsidRDefault="008819D9" w:rsidP="008819D9">
            <w:pPr>
              <w:spacing w:line="276" w:lineRule="auto"/>
              <w:textAlignment w:val="baseline"/>
              <w:rPr>
                <w:rFonts w:eastAsia="Times New Roman" w:cs="Arial"/>
              </w:rPr>
            </w:pPr>
            <w:r>
              <w:t>(1) pour tous nos actifs sous gestion</w:t>
            </w:r>
          </w:p>
          <w:p w14:paraId="2A68E8BE" w14:textId="662D5837" w:rsidR="008819D9" w:rsidRPr="003058F5" w:rsidRDefault="008819D9" w:rsidP="008819D9">
            <w:pPr>
              <w:spacing w:line="276" w:lineRule="auto"/>
              <w:textAlignment w:val="baseline"/>
              <w:rPr>
                <w:rFonts w:eastAsia="Times New Roman" w:cs="Arial"/>
              </w:rPr>
            </w:pPr>
            <w:r>
              <w:t>(2) pour plus de 50</w:t>
            </w:r>
            <w:r w:rsidR="00767929">
              <w:t> %</w:t>
            </w:r>
            <w:r>
              <w:t xml:space="preserve"> de nos actifs </w:t>
            </w:r>
            <w:r>
              <w:lastRenderedPageBreak/>
              <w:t>sous gestion</w:t>
            </w:r>
          </w:p>
          <w:p w14:paraId="214436C8" w14:textId="749E2087" w:rsidR="008819D9" w:rsidRPr="003058F5" w:rsidRDefault="008819D9" w:rsidP="008819D9">
            <w:pPr>
              <w:spacing w:line="276" w:lineRule="auto"/>
              <w:textAlignment w:val="baseline"/>
              <w:rPr>
                <w:rFonts w:eastAsia="Times New Roman" w:cs="Arial"/>
              </w:rPr>
            </w:pPr>
            <w:r>
              <w:t>(3) pour moins de 50</w:t>
            </w:r>
            <w:r w:rsidR="00767929">
              <w:t> %</w:t>
            </w:r>
            <w:r>
              <w:t xml:space="preserve"> de nos actifs sous gestion</w:t>
            </w:r>
          </w:p>
        </w:tc>
        <w:tc>
          <w:tcPr>
            <w:tcW w:w="1287" w:type="dxa"/>
            <w:shd w:val="clear" w:color="auto" w:fill="FFFFFF" w:themeFill="background1"/>
            <w:vAlign w:val="center"/>
          </w:tcPr>
          <w:p w14:paraId="4ACDE0C1" w14:textId="5914AE87" w:rsidR="008819D9" w:rsidRDefault="008819D9" w:rsidP="008819D9">
            <w:pPr>
              <w:spacing w:line="276" w:lineRule="auto"/>
              <w:textAlignment w:val="baseline"/>
              <w:rPr>
                <w:rFonts w:eastAsia="Times New Roman" w:cs="Arial"/>
              </w:rPr>
            </w:pPr>
            <w:r>
              <w:lastRenderedPageBreak/>
              <w:t>[Liste déroulante]</w:t>
            </w:r>
          </w:p>
          <w:p w14:paraId="09786722" w14:textId="77777777" w:rsidR="003C0436" w:rsidRPr="003058F5" w:rsidRDefault="003C0436" w:rsidP="008819D9">
            <w:pPr>
              <w:spacing w:line="276" w:lineRule="auto"/>
              <w:textAlignment w:val="baseline"/>
              <w:rPr>
                <w:rFonts w:eastAsia="Times New Roman" w:cs="Arial"/>
                <w:lang w:eastAsia="en-GB"/>
              </w:rPr>
            </w:pPr>
          </w:p>
          <w:p w14:paraId="573422A8" w14:textId="77777777" w:rsidR="008819D9" w:rsidRPr="003058F5" w:rsidRDefault="008819D9" w:rsidP="008819D9">
            <w:pPr>
              <w:spacing w:line="276" w:lineRule="auto"/>
              <w:textAlignment w:val="baseline"/>
              <w:rPr>
                <w:rFonts w:eastAsia="Times New Roman" w:cs="Arial"/>
              </w:rPr>
            </w:pPr>
            <w:r>
              <w:t>(1) pour tous nos actifs sous gestion</w:t>
            </w:r>
          </w:p>
          <w:p w14:paraId="06225902" w14:textId="7152C01E" w:rsidR="008819D9" w:rsidRPr="003058F5" w:rsidRDefault="008819D9" w:rsidP="008819D9">
            <w:pPr>
              <w:spacing w:line="276" w:lineRule="auto"/>
              <w:textAlignment w:val="baseline"/>
              <w:rPr>
                <w:rFonts w:eastAsia="Times New Roman" w:cs="Arial"/>
              </w:rPr>
            </w:pPr>
            <w:r>
              <w:t>(2) pour plus de 50</w:t>
            </w:r>
            <w:r w:rsidR="00767929">
              <w:t> %</w:t>
            </w:r>
            <w:r>
              <w:t xml:space="preserve"> de nos actifs </w:t>
            </w:r>
            <w:r>
              <w:lastRenderedPageBreak/>
              <w:t>sous gestion</w:t>
            </w:r>
          </w:p>
          <w:p w14:paraId="0030A900" w14:textId="0EA14074" w:rsidR="008A4716" w:rsidRPr="003058F5" w:rsidRDefault="008819D9" w:rsidP="00F15919">
            <w:pPr>
              <w:spacing w:line="276" w:lineRule="auto"/>
              <w:textAlignment w:val="baseline"/>
              <w:rPr>
                <w:rFonts w:eastAsia="Times New Roman" w:cs="Arial"/>
              </w:rPr>
            </w:pPr>
            <w:r>
              <w:t>(3) pour moins de 50</w:t>
            </w:r>
            <w:r w:rsidR="00767929">
              <w:t> %</w:t>
            </w:r>
            <w:r>
              <w:t xml:space="preserve"> de nos actifs sous gestion</w:t>
            </w:r>
          </w:p>
        </w:tc>
        <w:tc>
          <w:tcPr>
            <w:tcW w:w="1287" w:type="dxa"/>
            <w:gridSpan w:val="4"/>
            <w:tcBorders>
              <w:bottom w:val="single" w:sz="6" w:space="0" w:color="A6A6A6" w:themeColor="background1" w:themeShade="A6"/>
            </w:tcBorders>
            <w:shd w:val="clear" w:color="auto" w:fill="FFFFFF" w:themeFill="background1"/>
            <w:vAlign w:val="center"/>
          </w:tcPr>
          <w:p w14:paraId="6ED6D071" w14:textId="2D7D8A2F" w:rsidR="008819D9" w:rsidRDefault="008819D9" w:rsidP="008819D9">
            <w:pPr>
              <w:spacing w:line="276" w:lineRule="auto"/>
              <w:textAlignment w:val="baseline"/>
              <w:rPr>
                <w:rFonts w:eastAsia="Times New Roman" w:cs="Arial"/>
              </w:rPr>
            </w:pPr>
            <w:r>
              <w:lastRenderedPageBreak/>
              <w:t>[Liste déroulante]</w:t>
            </w:r>
          </w:p>
          <w:p w14:paraId="442AEFE9" w14:textId="77777777" w:rsidR="003C0436" w:rsidRPr="003058F5" w:rsidRDefault="003C0436" w:rsidP="008819D9">
            <w:pPr>
              <w:spacing w:line="276" w:lineRule="auto"/>
              <w:textAlignment w:val="baseline"/>
              <w:rPr>
                <w:rFonts w:eastAsia="Times New Roman" w:cs="Arial"/>
                <w:lang w:eastAsia="en-GB"/>
              </w:rPr>
            </w:pPr>
          </w:p>
          <w:p w14:paraId="420772AA" w14:textId="77777777" w:rsidR="008819D9" w:rsidRPr="003058F5" w:rsidRDefault="008819D9" w:rsidP="008819D9">
            <w:pPr>
              <w:spacing w:line="276" w:lineRule="auto"/>
              <w:textAlignment w:val="baseline"/>
              <w:rPr>
                <w:rFonts w:eastAsia="Times New Roman" w:cs="Arial"/>
              </w:rPr>
            </w:pPr>
            <w:r>
              <w:t>(1) pour tous nos actifs sous gestion</w:t>
            </w:r>
          </w:p>
          <w:p w14:paraId="32C6C817" w14:textId="5B3257DD" w:rsidR="008819D9" w:rsidRPr="003058F5" w:rsidRDefault="008819D9" w:rsidP="008819D9">
            <w:pPr>
              <w:spacing w:line="276" w:lineRule="auto"/>
              <w:textAlignment w:val="baseline"/>
              <w:rPr>
                <w:rFonts w:eastAsia="Times New Roman" w:cs="Arial"/>
              </w:rPr>
            </w:pPr>
            <w:r>
              <w:t>(2) pour plus de 50</w:t>
            </w:r>
            <w:r w:rsidR="00767929">
              <w:t> %</w:t>
            </w:r>
            <w:r>
              <w:t xml:space="preserve"> de nos actifs </w:t>
            </w:r>
            <w:r>
              <w:lastRenderedPageBreak/>
              <w:t>sous gestion</w:t>
            </w:r>
          </w:p>
          <w:p w14:paraId="65D01434" w14:textId="35619C31" w:rsidR="008A4716" w:rsidRPr="003058F5" w:rsidRDefault="008819D9" w:rsidP="00F15919">
            <w:pPr>
              <w:spacing w:line="276" w:lineRule="auto"/>
              <w:textAlignment w:val="baseline"/>
              <w:rPr>
                <w:rFonts w:eastAsia="Times New Roman" w:cs="Arial"/>
              </w:rPr>
            </w:pPr>
            <w:r>
              <w:t>(3) pour moins de 50</w:t>
            </w:r>
            <w:r w:rsidR="00767929">
              <w:t> %</w:t>
            </w:r>
            <w:r>
              <w:t xml:space="preserve"> de nos actifs sous gestion</w:t>
            </w:r>
          </w:p>
        </w:tc>
        <w:tc>
          <w:tcPr>
            <w:tcW w:w="1287" w:type="dxa"/>
            <w:tcBorders>
              <w:bottom w:val="single" w:sz="6" w:space="0" w:color="A6A6A6" w:themeColor="background1" w:themeShade="A6"/>
            </w:tcBorders>
            <w:shd w:val="clear" w:color="auto" w:fill="FFFFFF" w:themeFill="background1"/>
            <w:vAlign w:val="center"/>
          </w:tcPr>
          <w:p w14:paraId="2E8247B2" w14:textId="70300989" w:rsidR="008819D9" w:rsidRDefault="008819D9" w:rsidP="008819D9">
            <w:pPr>
              <w:spacing w:line="276" w:lineRule="auto"/>
              <w:textAlignment w:val="baseline"/>
              <w:rPr>
                <w:rFonts w:eastAsia="Times New Roman" w:cs="Arial"/>
              </w:rPr>
            </w:pPr>
            <w:r>
              <w:lastRenderedPageBreak/>
              <w:t>[Liste déroulante]</w:t>
            </w:r>
          </w:p>
          <w:p w14:paraId="7DEAB6F1" w14:textId="77777777" w:rsidR="003C0436" w:rsidRPr="003058F5" w:rsidRDefault="003C0436" w:rsidP="008819D9">
            <w:pPr>
              <w:spacing w:line="276" w:lineRule="auto"/>
              <w:textAlignment w:val="baseline"/>
              <w:rPr>
                <w:rFonts w:eastAsia="Times New Roman" w:cs="Arial"/>
                <w:lang w:eastAsia="en-GB"/>
              </w:rPr>
            </w:pPr>
          </w:p>
          <w:p w14:paraId="570553FA" w14:textId="77777777" w:rsidR="008819D9" w:rsidRPr="003058F5" w:rsidRDefault="008819D9" w:rsidP="008819D9">
            <w:pPr>
              <w:spacing w:line="276" w:lineRule="auto"/>
              <w:textAlignment w:val="baseline"/>
              <w:rPr>
                <w:rFonts w:eastAsia="Times New Roman" w:cs="Arial"/>
              </w:rPr>
            </w:pPr>
            <w:r>
              <w:t>(1) pour tous nos actifs sous gestion</w:t>
            </w:r>
          </w:p>
          <w:p w14:paraId="02736F45" w14:textId="7CB1D4A5" w:rsidR="008819D9" w:rsidRPr="003058F5" w:rsidRDefault="008819D9" w:rsidP="008819D9">
            <w:pPr>
              <w:spacing w:line="276" w:lineRule="auto"/>
              <w:textAlignment w:val="baseline"/>
              <w:rPr>
                <w:rFonts w:eastAsia="Times New Roman" w:cs="Arial"/>
              </w:rPr>
            </w:pPr>
            <w:r>
              <w:t>(2) pour plus de 50</w:t>
            </w:r>
            <w:r w:rsidR="00767929">
              <w:t> %</w:t>
            </w:r>
            <w:r>
              <w:t xml:space="preserve"> de nos actifs </w:t>
            </w:r>
            <w:r>
              <w:lastRenderedPageBreak/>
              <w:t>sous gestion</w:t>
            </w:r>
          </w:p>
          <w:p w14:paraId="7AA3F95D" w14:textId="4D37BDC5" w:rsidR="008A4716" w:rsidRPr="003058F5" w:rsidRDefault="008819D9" w:rsidP="00F15919">
            <w:pPr>
              <w:spacing w:line="276" w:lineRule="auto"/>
              <w:textAlignment w:val="baseline"/>
              <w:rPr>
                <w:rFonts w:eastAsia="Times New Roman" w:cs="Arial"/>
              </w:rPr>
            </w:pPr>
            <w:r>
              <w:t>(3) pour moins de 50</w:t>
            </w:r>
            <w:r w:rsidR="00767929">
              <w:t> %</w:t>
            </w:r>
            <w:r>
              <w:t xml:space="preserve"> de nos actifs sous gestion</w:t>
            </w:r>
          </w:p>
        </w:tc>
        <w:tc>
          <w:tcPr>
            <w:tcW w:w="1287" w:type="dxa"/>
            <w:tcBorders>
              <w:bottom w:val="single" w:sz="6" w:space="0" w:color="A6A6A6" w:themeColor="background1" w:themeShade="A6"/>
            </w:tcBorders>
            <w:shd w:val="clear" w:color="auto" w:fill="FFFFFF" w:themeFill="background1"/>
            <w:vAlign w:val="center"/>
          </w:tcPr>
          <w:p w14:paraId="571DF1D0" w14:textId="280F3E55" w:rsidR="008819D9" w:rsidRDefault="008819D9" w:rsidP="008819D9">
            <w:pPr>
              <w:spacing w:line="276" w:lineRule="auto"/>
              <w:textAlignment w:val="baseline"/>
              <w:rPr>
                <w:rFonts w:eastAsia="Times New Roman" w:cs="Arial"/>
              </w:rPr>
            </w:pPr>
            <w:r>
              <w:lastRenderedPageBreak/>
              <w:t>[Liste déroulante]</w:t>
            </w:r>
          </w:p>
          <w:p w14:paraId="6BD70B42" w14:textId="77777777" w:rsidR="003C0436" w:rsidRPr="003058F5" w:rsidRDefault="003C0436" w:rsidP="008819D9">
            <w:pPr>
              <w:spacing w:line="276" w:lineRule="auto"/>
              <w:textAlignment w:val="baseline"/>
              <w:rPr>
                <w:rFonts w:eastAsia="Times New Roman" w:cs="Arial"/>
                <w:lang w:eastAsia="en-GB"/>
              </w:rPr>
            </w:pPr>
          </w:p>
          <w:p w14:paraId="32D29A32" w14:textId="77777777" w:rsidR="008819D9" w:rsidRPr="003058F5" w:rsidRDefault="008819D9" w:rsidP="008819D9">
            <w:pPr>
              <w:spacing w:line="276" w:lineRule="auto"/>
              <w:textAlignment w:val="baseline"/>
              <w:rPr>
                <w:rFonts w:eastAsia="Times New Roman" w:cs="Arial"/>
              </w:rPr>
            </w:pPr>
            <w:r>
              <w:t>(1) pour tous nos actifs sous gestion</w:t>
            </w:r>
          </w:p>
          <w:p w14:paraId="54723DA4" w14:textId="6E7803E8" w:rsidR="008819D9" w:rsidRPr="003058F5" w:rsidRDefault="008819D9" w:rsidP="008819D9">
            <w:pPr>
              <w:spacing w:line="276" w:lineRule="auto"/>
              <w:textAlignment w:val="baseline"/>
              <w:rPr>
                <w:rFonts w:eastAsia="Times New Roman" w:cs="Arial"/>
              </w:rPr>
            </w:pPr>
            <w:r>
              <w:t>(2) pour plus de 50</w:t>
            </w:r>
            <w:r w:rsidR="00767929">
              <w:t> %</w:t>
            </w:r>
            <w:r>
              <w:t xml:space="preserve"> de nos actifs </w:t>
            </w:r>
            <w:r>
              <w:lastRenderedPageBreak/>
              <w:t>sous gestion</w:t>
            </w:r>
          </w:p>
          <w:p w14:paraId="7FA25147" w14:textId="0D3AD737" w:rsidR="008A4716" w:rsidRPr="003058F5" w:rsidRDefault="008819D9" w:rsidP="00F15919">
            <w:pPr>
              <w:spacing w:line="276" w:lineRule="auto"/>
              <w:textAlignment w:val="baseline"/>
              <w:rPr>
                <w:rFonts w:eastAsia="Times New Roman" w:cs="Arial"/>
              </w:rPr>
            </w:pPr>
            <w:r>
              <w:t>(3) pour moins de 50</w:t>
            </w:r>
            <w:r w:rsidR="00767929">
              <w:t> %</w:t>
            </w:r>
            <w:r>
              <w:t xml:space="preserve"> de nos actifs sous gestion</w:t>
            </w:r>
          </w:p>
        </w:tc>
        <w:tc>
          <w:tcPr>
            <w:tcW w:w="1287" w:type="dxa"/>
            <w:gridSpan w:val="3"/>
            <w:tcBorders>
              <w:bottom w:val="single" w:sz="6" w:space="0" w:color="A6A6A6" w:themeColor="background1" w:themeShade="A6"/>
            </w:tcBorders>
            <w:shd w:val="clear" w:color="auto" w:fill="FFFFFF" w:themeFill="background1"/>
            <w:vAlign w:val="center"/>
          </w:tcPr>
          <w:p w14:paraId="2C9024B3" w14:textId="52AAFF01" w:rsidR="008819D9" w:rsidRDefault="008819D9" w:rsidP="008819D9">
            <w:pPr>
              <w:spacing w:line="276" w:lineRule="auto"/>
              <w:textAlignment w:val="baseline"/>
              <w:rPr>
                <w:rFonts w:eastAsia="Times New Roman" w:cs="Arial"/>
              </w:rPr>
            </w:pPr>
            <w:r>
              <w:lastRenderedPageBreak/>
              <w:t>[Liste déroulante]</w:t>
            </w:r>
          </w:p>
          <w:p w14:paraId="0505AB26" w14:textId="77777777" w:rsidR="003C0436" w:rsidRPr="003058F5" w:rsidRDefault="003C0436" w:rsidP="008819D9">
            <w:pPr>
              <w:spacing w:line="276" w:lineRule="auto"/>
              <w:textAlignment w:val="baseline"/>
              <w:rPr>
                <w:rFonts w:eastAsia="Times New Roman" w:cs="Arial"/>
                <w:lang w:eastAsia="en-GB"/>
              </w:rPr>
            </w:pPr>
          </w:p>
          <w:p w14:paraId="30DCC42A" w14:textId="77777777" w:rsidR="008819D9" w:rsidRPr="003058F5" w:rsidRDefault="008819D9" w:rsidP="008819D9">
            <w:pPr>
              <w:spacing w:line="276" w:lineRule="auto"/>
              <w:textAlignment w:val="baseline"/>
              <w:rPr>
                <w:rFonts w:eastAsia="Times New Roman" w:cs="Arial"/>
              </w:rPr>
            </w:pPr>
            <w:r>
              <w:t>(1) pour tous nos actifs sous gestion</w:t>
            </w:r>
          </w:p>
          <w:p w14:paraId="205E50A2" w14:textId="255F1D3E" w:rsidR="008819D9" w:rsidRPr="003058F5" w:rsidRDefault="008819D9" w:rsidP="008819D9">
            <w:pPr>
              <w:spacing w:line="276" w:lineRule="auto"/>
              <w:textAlignment w:val="baseline"/>
              <w:rPr>
                <w:rFonts w:eastAsia="Times New Roman" w:cs="Arial"/>
              </w:rPr>
            </w:pPr>
            <w:r>
              <w:t>(2) pour plus de 50</w:t>
            </w:r>
            <w:r w:rsidR="00767929">
              <w:t> %</w:t>
            </w:r>
            <w:r>
              <w:t xml:space="preserve"> de nos actifs </w:t>
            </w:r>
            <w:r>
              <w:lastRenderedPageBreak/>
              <w:t>sous gestion</w:t>
            </w:r>
          </w:p>
          <w:p w14:paraId="11151199" w14:textId="4CF19935" w:rsidR="008A4716" w:rsidRPr="003058F5" w:rsidRDefault="008819D9" w:rsidP="00F15919">
            <w:pPr>
              <w:spacing w:line="276" w:lineRule="auto"/>
              <w:textAlignment w:val="baseline"/>
              <w:rPr>
                <w:rFonts w:eastAsia="Times New Roman" w:cs="Arial"/>
              </w:rPr>
            </w:pPr>
            <w:r>
              <w:t>(3) pour moins de 50</w:t>
            </w:r>
            <w:r w:rsidR="00767929">
              <w:t> %</w:t>
            </w:r>
            <w:r>
              <w:t xml:space="preserve"> de nos actifs sous gestion</w:t>
            </w:r>
          </w:p>
        </w:tc>
        <w:tc>
          <w:tcPr>
            <w:tcW w:w="1287" w:type="dxa"/>
            <w:tcBorders>
              <w:bottom w:val="single" w:sz="6" w:space="0" w:color="A6A6A6" w:themeColor="background1" w:themeShade="A6"/>
            </w:tcBorders>
            <w:shd w:val="clear" w:color="auto" w:fill="FFFFFF" w:themeFill="background1"/>
            <w:vAlign w:val="center"/>
          </w:tcPr>
          <w:p w14:paraId="314238DC" w14:textId="496358DE" w:rsidR="008819D9" w:rsidRDefault="008819D9" w:rsidP="008819D9">
            <w:pPr>
              <w:spacing w:line="276" w:lineRule="auto"/>
              <w:textAlignment w:val="baseline"/>
              <w:rPr>
                <w:rFonts w:eastAsia="Times New Roman" w:cs="Arial"/>
              </w:rPr>
            </w:pPr>
            <w:r>
              <w:lastRenderedPageBreak/>
              <w:t>[Liste déroulante]</w:t>
            </w:r>
          </w:p>
          <w:p w14:paraId="035522DB" w14:textId="77777777" w:rsidR="003C0436" w:rsidRPr="003058F5" w:rsidRDefault="003C0436" w:rsidP="008819D9">
            <w:pPr>
              <w:spacing w:line="276" w:lineRule="auto"/>
              <w:textAlignment w:val="baseline"/>
              <w:rPr>
                <w:rFonts w:eastAsia="Times New Roman" w:cs="Arial"/>
                <w:lang w:eastAsia="en-GB"/>
              </w:rPr>
            </w:pPr>
          </w:p>
          <w:p w14:paraId="548C1A2D" w14:textId="77777777" w:rsidR="008819D9" w:rsidRPr="003058F5" w:rsidRDefault="008819D9" w:rsidP="008819D9">
            <w:pPr>
              <w:spacing w:line="276" w:lineRule="auto"/>
              <w:textAlignment w:val="baseline"/>
              <w:rPr>
                <w:rFonts w:eastAsia="Times New Roman" w:cs="Arial"/>
              </w:rPr>
            </w:pPr>
            <w:r>
              <w:t>(1) pour tous nos actifs sous gestion</w:t>
            </w:r>
          </w:p>
          <w:p w14:paraId="1DD50A6A" w14:textId="6B8F5D3E" w:rsidR="008819D9" w:rsidRPr="003058F5" w:rsidRDefault="008819D9" w:rsidP="008819D9">
            <w:pPr>
              <w:spacing w:line="276" w:lineRule="auto"/>
              <w:textAlignment w:val="baseline"/>
              <w:rPr>
                <w:rFonts w:eastAsia="Times New Roman" w:cs="Arial"/>
              </w:rPr>
            </w:pPr>
            <w:r>
              <w:t>(2) pour plus de 50</w:t>
            </w:r>
            <w:r w:rsidR="00767929">
              <w:t> %</w:t>
            </w:r>
            <w:r>
              <w:t xml:space="preserve"> de nos actifs </w:t>
            </w:r>
            <w:r>
              <w:lastRenderedPageBreak/>
              <w:t>sous gestion</w:t>
            </w:r>
          </w:p>
          <w:p w14:paraId="7050D759" w14:textId="75F90F4D" w:rsidR="008A4716" w:rsidRPr="003058F5" w:rsidRDefault="008819D9" w:rsidP="00F15919">
            <w:pPr>
              <w:spacing w:line="276" w:lineRule="auto"/>
              <w:textAlignment w:val="baseline"/>
              <w:rPr>
                <w:rFonts w:eastAsia="Times New Roman" w:cs="Arial"/>
              </w:rPr>
            </w:pPr>
            <w:r>
              <w:t>(3) pour moins de 50</w:t>
            </w:r>
            <w:r w:rsidR="00767929">
              <w:t> %</w:t>
            </w:r>
            <w:r>
              <w:t xml:space="preserve"> de nos actifs sous gestion</w:t>
            </w:r>
          </w:p>
        </w:tc>
        <w:tc>
          <w:tcPr>
            <w:tcW w:w="1287" w:type="dxa"/>
            <w:gridSpan w:val="2"/>
            <w:tcBorders>
              <w:bottom w:val="single" w:sz="6" w:space="0" w:color="A6A6A6" w:themeColor="background1" w:themeShade="A6"/>
            </w:tcBorders>
            <w:shd w:val="clear" w:color="auto" w:fill="FFFFFF" w:themeFill="background1"/>
            <w:vAlign w:val="center"/>
          </w:tcPr>
          <w:p w14:paraId="5F423A3B" w14:textId="1017804A" w:rsidR="008819D9" w:rsidRDefault="008819D9" w:rsidP="008819D9">
            <w:pPr>
              <w:spacing w:line="276" w:lineRule="auto"/>
              <w:textAlignment w:val="baseline"/>
              <w:rPr>
                <w:rFonts w:eastAsia="Times New Roman" w:cs="Arial"/>
              </w:rPr>
            </w:pPr>
            <w:r>
              <w:lastRenderedPageBreak/>
              <w:t>[Liste déroulante]</w:t>
            </w:r>
          </w:p>
          <w:p w14:paraId="70A150E0" w14:textId="77777777" w:rsidR="003C0436" w:rsidRPr="003058F5" w:rsidRDefault="003C0436" w:rsidP="008819D9">
            <w:pPr>
              <w:spacing w:line="276" w:lineRule="auto"/>
              <w:textAlignment w:val="baseline"/>
              <w:rPr>
                <w:rFonts w:eastAsia="Times New Roman" w:cs="Arial"/>
                <w:lang w:eastAsia="en-GB"/>
              </w:rPr>
            </w:pPr>
          </w:p>
          <w:p w14:paraId="0AC0DF26" w14:textId="77777777" w:rsidR="008819D9" w:rsidRPr="003058F5" w:rsidRDefault="008819D9" w:rsidP="008819D9">
            <w:pPr>
              <w:spacing w:line="276" w:lineRule="auto"/>
              <w:textAlignment w:val="baseline"/>
              <w:rPr>
                <w:rFonts w:eastAsia="Times New Roman" w:cs="Arial"/>
              </w:rPr>
            </w:pPr>
            <w:r>
              <w:t>(1) pour tous nos actifs sous gestion</w:t>
            </w:r>
          </w:p>
          <w:p w14:paraId="243D75FF" w14:textId="6ECCFFDF" w:rsidR="008819D9" w:rsidRPr="003058F5" w:rsidRDefault="008819D9" w:rsidP="008819D9">
            <w:pPr>
              <w:spacing w:line="276" w:lineRule="auto"/>
              <w:textAlignment w:val="baseline"/>
              <w:rPr>
                <w:rFonts w:eastAsia="Times New Roman" w:cs="Arial"/>
              </w:rPr>
            </w:pPr>
            <w:r>
              <w:t>(2) pour plus de 50</w:t>
            </w:r>
            <w:r w:rsidR="00767929">
              <w:t> %</w:t>
            </w:r>
            <w:r>
              <w:t xml:space="preserve"> de nos actifs </w:t>
            </w:r>
            <w:r>
              <w:lastRenderedPageBreak/>
              <w:t>sous gestion</w:t>
            </w:r>
          </w:p>
          <w:p w14:paraId="68625715" w14:textId="4980F470" w:rsidR="008A4716" w:rsidRPr="003058F5" w:rsidRDefault="008819D9" w:rsidP="00F15919">
            <w:pPr>
              <w:spacing w:line="276" w:lineRule="auto"/>
              <w:textAlignment w:val="baseline"/>
              <w:rPr>
                <w:rFonts w:eastAsia="Times New Roman" w:cs="Arial"/>
              </w:rPr>
            </w:pPr>
            <w:r>
              <w:t>(3) pour moins de 50</w:t>
            </w:r>
            <w:r w:rsidR="00767929">
              <w:t> %</w:t>
            </w:r>
            <w:r>
              <w:t xml:space="preserve"> de nos actifs sous gestion</w:t>
            </w:r>
          </w:p>
        </w:tc>
        <w:tc>
          <w:tcPr>
            <w:tcW w:w="1287" w:type="dxa"/>
            <w:gridSpan w:val="3"/>
            <w:tcBorders>
              <w:bottom w:val="single" w:sz="6" w:space="0" w:color="A6A6A6" w:themeColor="background1" w:themeShade="A6"/>
            </w:tcBorders>
            <w:shd w:val="clear" w:color="auto" w:fill="FFFFFF" w:themeFill="background1"/>
            <w:vAlign w:val="center"/>
          </w:tcPr>
          <w:p w14:paraId="2A164766" w14:textId="125E5D27" w:rsidR="008819D9" w:rsidRDefault="008819D9" w:rsidP="008819D9">
            <w:pPr>
              <w:spacing w:line="276" w:lineRule="auto"/>
              <w:textAlignment w:val="baseline"/>
              <w:rPr>
                <w:rFonts w:eastAsia="Times New Roman" w:cs="Arial"/>
              </w:rPr>
            </w:pPr>
            <w:r>
              <w:lastRenderedPageBreak/>
              <w:t>[Liste déroulante]</w:t>
            </w:r>
          </w:p>
          <w:p w14:paraId="49286354" w14:textId="77777777" w:rsidR="003C0436" w:rsidRPr="003058F5" w:rsidRDefault="003C0436" w:rsidP="008819D9">
            <w:pPr>
              <w:spacing w:line="276" w:lineRule="auto"/>
              <w:textAlignment w:val="baseline"/>
              <w:rPr>
                <w:rFonts w:eastAsia="Times New Roman" w:cs="Arial"/>
                <w:lang w:eastAsia="en-GB"/>
              </w:rPr>
            </w:pPr>
          </w:p>
          <w:p w14:paraId="38D25AE2" w14:textId="77777777" w:rsidR="003C0436" w:rsidRDefault="008819D9" w:rsidP="008819D9">
            <w:pPr>
              <w:spacing w:line="276" w:lineRule="auto"/>
              <w:textAlignment w:val="baseline"/>
              <w:rPr>
                <w:rFonts w:eastAsia="Times New Roman" w:cs="Arial"/>
              </w:rPr>
            </w:pPr>
            <w:r>
              <w:t>(1) pour tous</w:t>
            </w:r>
          </w:p>
          <w:p w14:paraId="33BDDA1D" w14:textId="2A16694C" w:rsidR="008819D9" w:rsidRPr="003058F5" w:rsidRDefault="008819D9" w:rsidP="008819D9">
            <w:pPr>
              <w:spacing w:line="276" w:lineRule="auto"/>
              <w:textAlignment w:val="baseline"/>
              <w:rPr>
                <w:rFonts w:eastAsia="Times New Roman" w:cs="Arial"/>
              </w:rPr>
            </w:pPr>
            <w:proofErr w:type="gramStart"/>
            <w:r>
              <w:t>nos</w:t>
            </w:r>
            <w:proofErr w:type="gramEnd"/>
            <w:r>
              <w:t xml:space="preserve"> actifs sous gestion</w:t>
            </w:r>
          </w:p>
          <w:p w14:paraId="15655E02" w14:textId="732E5236" w:rsidR="008819D9" w:rsidRPr="003058F5" w:rsidRDefault="008819D9" w:rsidP="008819D9">
            <w:pPr>
              <w:spacing w:line="276" w:lineRule="auto"/>
              <w:textAlignment w:val="baseline"/>
              <w:rPr>
                <w:rFonts w:eastAsia="Times New Roman" w:cs="Arial"/>
              </w:rPr>
            </w:pPr>
            <w:r>
              <w:t>(2) pour plus de 50</w:t>
            </w:r>
            <w:r w:rsidR="00767929">
              <w:t> %</w:t>
            </w:r>
            <w:r>
              <w:t xml:space="preserve"> de </w:t>
            </w:r>
            <w:r>
              <w:lastRenderedPageBreak/>
              <w:t>nos actifs sous gestion</w:t>
            </w:r>
          </w:p>
          <w:p w14:paraId="1FB3B43F" w14:textId="5314E68A" w:rsidR="008A4716" w:rsidRPr="003058F5" w:rsidRDefault="008819D9" w:rsidP="00F15919">
            <w:pPr>
              <w:spacing w:line="276" w:lineRule="auto"/>
              <w:textAlignment w:val="baseline"/>
              <w:rPr>
                <w:rFonts w:eastAsia="Times New Roman" w:cs="Arial"/>
              </w:rPr>
            </w:pPr>
            <w:r>
              <w:t>(3) pour moins de 50</w:t>
            </w:r>
            <w:r w:rsidR="00767929">
              <w:t> %</w:t>
            </w:r>
            <w:r>
              <w:t xml:space="preserve"> de nos actifs sous gestion</w:t>
            </w:r>
          </w:p>
        </w:tc>
      </w:tr>
      <w:tr w:rsidR="00BE0934" w:rsidRPr="003058F5" w14:paraId="793AEDDA" w14:textId="77777777" w:rsidTr="00BE0934">
        <w:trPr>
          <w:trHeight w:val="465"/>
        </w:trPr>
        <w:tc>
          <w:tcPr>
            <w:tcW w:w="3309"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47CFFA0E" w14:textId="5FDB13B0" w:rsidR="00824977" w:rsidRPr="003058F5" w:rsidRDefault="00824977" w:rsidP="00824977">
            <w:pPr>
              <w:spacing w:line="276" w:lineRule="auto"/>
              <w:textAlignment w:val="baseline"/>
              <w:rPr>
                <w:rFonts w:eastAsia="Times New Roman" w:cs="Arial"/>
                <w:szCs w:val="16"/>
              </w:rPr>
            </w:pPr>
            <w:r>
              <w:lastRenderedPageBreak/>
              <w:t xml:space="preserve">(B) Les critères ESG majeurs contribuent à la pondération de portefeuille d'actifs et d’instruments financiers individuels dans le cadre de notre processus de construction de portefeuille et/ou de sélection d'indices de référence </w:t>
            </w:r>
          </w:p>
        </w:tc>
        <w:tc>
          <w:tcPr>
            <w:tcW w:w="1286" w:type="dxa"/>
            <w:shd w:val="clear" w:color="auto" w:fill="EDEDED" w:themeFill="accent3" w:themeFillTint="33"/>
            <w:vAlign w:val="center"/>
          </w:tcPr>
          <w:p w14:paraId="644E3F2B" w14:textId="728F3ED2" w:rsidR="008819D9" w:rsidRPr="003058F5" w:rsidRDefault="008819D9">
            <w:pPr>
              <w:spacing w:line="276" w:lineRule="auto"/>
              <w:textAlignment w:val="baseline"/>
              <w:rPr>
                <w:rFonts w:eastAsia="Times New Roman" w:cs="Arial"/>
                <w:szCs w:val="16"/>
              </w:rPr>
            </w:pPr>
            <w:r>
              <w:t>[Comme ci-dessus]</w:t>
            </w:r>
          </w:p>
        </w:tc>
        <w:tc>
          <w:tcPr>
            <w:tcW w:w="1287" w:type="dxa"/>
            <w:shd w:val="clear" w:color="auto" w:fill="FFFFFF" w:themeFill="background1"/>
            <w:vAlign w:val="center"/>
          </w:tcPr>
          <w:p w14:paraId="10B8B5F1" w14:textId="7C69F01A" w:rsidR="00824977" w:rsidRPr="003058F5" w:rsidRDefault="00CF1110" w:rsidP="00F15919">
            <w:pPr>
              <w:spacing w:line="276" w:lineRule="auto"/>
              <w:textAlignment w:val="baseline"/>
              <w:rPr>
                <w:rFonts w:eastAsia="Times New Roman" w:cs="Arial"/>
                <w:szCs w:val="16"/>
              </w:rPr>
            </w:pPr>
            <w:r>
              <w:t>[Comme ci-dessus]</w:t>
            </w:r>
          </w:p>
        </w:tc>
        <w:tc>
          <w:tcPr>
            <w:tcW w:w="1287" w:type="dxa"/>
            <w:gridSpan w:val="4"/>
            <w:tcBorders>
              <w:bottom w:val="single" w:sz="6" w:space="0" w:color="A6A6A6" w:themeColor="background1" w:themeShade="A6"/>
            </w:tcBorders>
            <w:shd w:val="clear" w:color="auto" w:fill="FFFFFF" w:themeFill="background1"/>
            <w:vAlign w:val="center"/>
          </w:tcPr>
          <w:p w14:paraId="1928A3A3" w14:textId="072D125B" w:rsidR="00824977" w:rsidRPr="003058F5" w:rsidRDefault="00CF1110" w:rsidP="00F15919">
            <w:pPr>
              <w:spacing w:line="276" w:lineRule="auto"/>
              <w:textAlignment w:val="baseline"/>
              <w:rPr>
                <w:rFonts w:eastAsia="Times New Roman" w:cs="Arial"/>
                <w:szCs w:val="16"/>
              </w:rPr>
            </w:pPr>
            <w:r>
              <w:t>[Comme ci-dessus]</w:t>
            </w:r>
          </w:p>
        </w:tc>
        <w:tc>
          <w:tcPr>
            <w:tcW w:w="1287" w:type="dxa"/>
            <w:tcBorders>
              <w:bottom w:val="single" w:sz="6" w:space="0" w:color="A6A6A6" w:themeColor="background1" w:themeShade="A6"/>
            </w:tcBorders>
            <w:shd w:val="clear" w:color="auto" w:fill="FFFFFF" w:themeFill="background1"/>
            <w:vAlign w:val="center"/>
          </w:tcPr>
          <w:p w14:paraId="471A69D3" w14:textId="6725D8BD" w:rsidR="00824977" w:rsidRPr="003058F5" w:rsidRDefault="00CF1110" w:rsidP="00F15919">
            <w:pPr>
              <w:spacing w:line="276" w:lineRule="auto"/>
              <w:textAlignment w:val="baseline"/>
              <w:rPr>
                <w:rFonts w:eastAsia="Times New Roman" w:cs="Arial"/>
                <w:szCs w:val="16"/>
              </w:rPr>
            </w:pPr>
            <w:r>
              <w:t>[Comme ci-dessus]</w:t>
            </w:r>
          </w:p>
        </w:tc>
        <w:tc>
          <w:tcPr>
            <w:tcW w:w="1287" w:type="dxa"/>
            <w:tcBorders>
              <w:bottom w:val="single" w:sz="6" w:space="0" w:color="A6A6A6" w:themeColor="background1" w:themeShade="A6"/>
            </w:tcBorders>
            <w:shd w:val="clear" w:color="auto" w:fill="FFFFFF" w:themeFill="background1"/>
            <w:vAlign w:val="center"/>
          </w:tcPr>
          <w:p w14:paraId="5B5A93AD" w14:textId="31F8C6E4" w:rsidR="00824977" w:rsidRPr="003058F5" w:rsidRDefault="00CF1110" w:rsidP="00F15919">
            <w:pPr>
              <w:spacing w:line="276" w:lineRule="auto"/>
              <w:textAlignment w:val="baseline"/>
              <w:rPr>
                <w:rFonts w:eastAsia="Times New Roman" w:cs="Arial"/>
                <w:szCs w:val="16"/>
              </w:rPr>
            </w:pPr>
            <w:r>
              <w:t>[Comme ci-dessus]</w:t>
            </w:r>
          </w:p>
        </w:tc>
        <w:tc>
          <w:tcPr>
            <w:tcW w:w="1287" w:type="dxa"/>
            <w:gridSpan w:val="3"/>
            <w:tcBorders>
              <w:bottom w:val="single" w:sz="6" w:space="0" w:color="A6A6A6" w:themeColor="background1" w:themeShade="A6"/>
            </w:tcBorders>
            <w:shd w:val="clear" w:color="auto" w:fill="FFFFFF" w:themeFill="background1"/>
            <w:vAlign w:val="center"/>
          </w:tcPr>
          <w:p w14:paraId="3CE02D63" w14:textId="2FF2F8D0" w:rsidR="00824977" w:rsidRPr="003058F5" w:rsidRDefault="00CF1110" w:rsidP="00F15919">
            <w:pPr>
              <w:spacing w:line="276" w:lineRule="auto"/>
              <w:textAlignment w:val="baseline"/>
              <w:rPr>
                <w:rFonts w:eastAsia="Times New Roman" w:cs="Arial"/>
                <w:szCs w:val="16"/>
              </w:rPr>
            </w:pPr>
            <w:r>
              <w:t>[Comme ci-dessus]</w:t>
            </w:r>
          </w:p>
        </w:tc>
        <w:tc>
          <w:tcPr>
            <w:tcW w:w="1287" w:type="dxa"/>
            <w:tcBorders>
              <w:bottom w:val="single" w:sz="6" w:space="0" w:color="A6A6A6" w:themeColor="background1" w:themeShade="A6"/>
            </w:tcBorders>
            <w:shd w:val="clear" w:color="auto" w:fill="FFFFFF" w:themeFill="background1"/>
            <w:vAlign w:val="center"/>
          </w:tcPr>
          <w:p w14:paraId="7F3A0B20" w14:textId="17401131" w:rsidR="00824977" w:rsidRPr="003058F5" w:rsidRDefault="00CF1110" w:rsidP="00F15919">
            <w:pPr>
              <w:spacing w:line="276" w:lineRule="auto"/>
              <w:textAlignment w:val="baseline"/>
              <w:rPr>
                <w:rFonts w:eastAsia="Times New Roman" w:cs="Arial"/>
                <w:szCs w:val="16"/>
              </w:rPr>
            </w:pPr>
            <w:r>
              <w:t>[Comme ci-dessus]</w:t>
            </w:r>
          </w:p>
        </w:tc>
        <w:tc>
          <w:tcPr>
            <w:tcW w:w="1287" w:type="dxa"/>
            <w:gridSpan w:val="2"/>
            <w:tcBorders>
              <w:bottom w:val="single" w:sz="6" w:space="0" w:color="A6A6A6" w:themeColor="background1" w:themeShade="A6"/>
            </w:tcBorders>
            <w:shd w:val="clear" w:color="auto" w:fill="FFFFFF" w:themeFill="background1"/>
            <w:vAlign w:val="center"/>
          </w:tcPr>
          <w:p w14:paraId="70C9B47F" w14:textId="0FE03F2C" w:rsidR="00824977" w:rsidRPr="003058F5" w:rsidRDefault="00CF1110" w:rsidP="00F15919">
            <w:pPr>
              <w:spacing w:line="276" w:lineRule="auto"/>
              <w:textAlignment w:val="baseline"/>
              <w:rPr>
                <w:rFonts w:eastAsia="Times New Roman" w:cs="Arial"/>
                <w:szCs w:val="16"/>
              </w:rPr>
            </w:pPr>
            <w:r>
              <w:t>[Comme ci-dessus]</w:t>
            </w:r>
          </w:p>
        </w:tc>
        <w:tc>
          <w:tcPr>
            <w:tcW w:w="1287" w:type="dxa"/>
            <w:gridSpan w:val="3"/>
            <w:tcBorders>
              <w:bottom w:val="single" w:sz="6" w:space="0" w:color="A6A6A6" w:themeColor="background1" w:themeShade="A6"/>
            </w:tcBorders>
            <w:shd w:val="clear" w:color="auto" w:fill="FFFFFF" w:themeFill="background1"/>
            <w:vAlign w:val="center"/>
          </w:tcPr>
          <w:p w14:paraId="051E5F4E" w14:textId="28E44192" w:rsidR="00824977" w:rsidRPr="003058F5" w:rsidRDefault="00CF1110" w:rsidP="00F15919">
            <w:pPr>
              <w:spacing w:line="276" w:lineRule="auto"/>
              <w:textAlignment w:val="baseline"/>
              <w:rPr>
                <w:rFonts w:eastAsia="Times New Roman" w:cs="Arial"/>
                <w:szCs w:val="16"/>
              </w:rPr>
            </w:pPr>
            <w:r>
              <w:t>[Comme ci-dessus]</w:t>
            </w:r>
          </w:p>
        </w:tc>
      </w:tr>
      <w:tr w:rsidR="00BE0934" w:rsidRPr="003058F5" w14:paraId="65FE06B0" w14:textId="77777777" w:rsidTr="00BE0934">
        <w:trPr>
          <w:trHeight w:val="465"/>
        </w:trPr>
        <w:tc>
          <w:tcPr>
            <w:tcW w:w="3309"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6E452F00" w14:textId="58F1AAFA" w:rsidR="00824977" w:rsidRPr="003058F5" w:rsidRDefault="00824977" w:rsidP="00824977">
            <w:pPr>
              <w:spacing w:line="276" w:lineRule="auto"/>
              <w:textAlignment w:val="baseline"/>
              <w:rPr>
                <w:rFonts w:eastAsia="Times New Roman" w:cs="Arial"/>
                <w:szCs w:val="16"/>
              </w:rPr>
            </w:pPr>
            <w:r>
              <w:t>(C) Les critères ESG majeurs contribuent à la pondération en fonction du secteur, du pays ou de la région des actifs et des instruments financiers dans le cadre de notre processus de construction de portefeuille et/ou de sélection d'indices de référence</w:t>
            </w:r>
          </w:p>
        </w:tc>
        <w:tc>
          <w:tcPr>
            <w:tcW w:w="1286" w:type="dxa"/>
            <w:shd w:val="clear" w:color="auto" w:fill="EDEDED" w:themeFill="accent3" w:themeFillTint="33"/>
            <w:vAlign w:val="center"/>
          </w:tcPr>
          <w:p w14:paraId="3089CF15" w14:textId="7D5EEFC6" w:rsidR="008819D9" w:rsidRPr="003058F5" w:rsidRDefault="00CF1110">
            <w:pPr>
              <w:spacing w:line="276" w:lineRule="auto"/>
              <w:textAlignment w:val="baseline"/>
              <w:rPr>
                <w:rFonts w:eastAsia="Times New Roman" w:cs="Arial"/>
                <w:szCs w:val="16"/>
              </w:rPr>
            </w:pPr>
            <w:r>
              <w:t>[Comme ci-dessus]</w:t>
            </w:r>
          </w:p>
        </w:tc>
        <w:tc>
          <w:tcPr>
            <w:tcW w:w="1287" w:type="dxa"/>
            <w:shd w:val="clear" w:color="auto" w:fill="FFFFFF" w:themeFill="background1"/>
            <w:vAlign w:val="center"/>
          </w:tcPr>
          <w:p w14:paraId="6F28FE4B" w14:textId="3E217A56" w:rsidR="00824977" w:rsidRPr="003058F5" w:rsidRDefault="00CF1110" w:rsidP="00F15919">
            <w:pPr>
              <w:spacing w:line="276" w:lineRule="auto"/>
              <w:textAlignment w:val="baseline"/>
              <w:rPr>
                <w:rFonts w:eastAsia="Times New Roman" w:cs="Arial"/>
                <w:szCs w:val="16"/>
              </w:rPr>
            </w:pPr>
            <w:r>
              <w:t>[Comme ci-dessus]</w:t>
            </w:r>
          </w:p>
        </w:tc>
        <w:tc>
          <w:tcPr>
            <w:tcW w:w="1287" w:type="dxa"/>
            <w:gridSpan w:val="4"/>
            <w:tcBorders>
              <w:bottom w:val="single" w:sz="6" w:space="0" w:color="A6A6A6" w:themeColor="background1" w:themeShade="A6"/>
            </w:tcBorders>
            <w:shd w:val="clear" w:color="auto" w:fill="FFFFFF" w:themeFill="background1"/>
            <w:vAlign w:val="center"/>
          </w:tcPr>
          <w:p w14:paraId="12B087A6" w14:textId="255F1561" w:rsidR="00824977" w:rsidRPr="003058F5" w:rsidRDefault="00CF1110" w:rsidP="00F15919">
            <w:pPr>
              <w:spacing w:line="276" w:lineRule="auto"/>
              <w:textAlignment w:val="baseline"/>
              <w:rPr>
                <w:rFonts w:eastAsia="Times New Roman" w:cs="Arial"/>
                <w:szCs w:val="16"/>
              </w:rPr>
            </w:pPr>
            <w:r>
              <w:t>[Comme ci-dessus]</w:t>
            </w:r>
          </w:p>
        </w:tc>
        <w:tc>
          <w:tcPr>
            <w:tcW w:w="1287" w:type="dxa"/>
            <w:tcBorders>
              <w:bottom w:val="single" w:sz="6" w:space="0" w:color="A6A6A6" w:themeColor="background1" w:themeShade="A6"/>
            </w:tcBorders>
            <w:shd w:val="clear" w:color="auto" w:fill="FFFFFF" w:themeFill="background1"/>
            <w:vAlign w:val="center"/>
          </w:tcPr>
          <w:p w14:paraId="19509D49" w14:textId="345FA42E" w:rsidR="00824977" w:rsidRPr="003058F5" w:rsidRDefault="00CF1110" w:rsidP="00F15919">
            <w:pPr>
              <w:spacing w:line="276" w:lineRule="auto"/>
              <w:textAlignment w:val="baseline"/>
              <w:rPr>
                <w:rFonts w:eastAsia="Times New Roman" w:cs="Arial"/>
                <w:szCs w:val="16"/>
              </w:rPr>
            </w:pPr>
            <w:r>
              <w:t>[Comme ci-dessus]</w:t>
            </w:r>
          </w:p>
        </w:tc>
        <w:tc>
          <w:tcPr>
            <w:tcW w:w="1287" w:type="dxa"/>
            <w:tcBorders>
              <w:bottom w:val="single" w:sz="6" w:space="0" w:color="A6A6A6" w:themeColor="background1" w:themeShade="A6"/>
            </w:tcBorders>
            <w:shd w:val="clear" w:color="auto" w:fill="FFFFFF" w:themeFill="background1"/>
            <w:vAlign w:val="center"/>
          </w:tcPr>
          <w:p w14:paraId="44AEB2EA" w14:textId="542A400B" w:rsidR="00824977" w:rsidRPr="003058F5" w:rsidRDefault="00CF1110" w:rsidP="00F15919">
            <w:pPr>
              <w:spacing w:line="276" w:lineRule="auto"/>
              <w:textAlignment w:val="baseline"/>
              <w:rPr>
                <w:rFonts w:eastAsia="Times New Roman" w:cs="Arial"/>
                <w:szCs w:val="16"/>
              </w:rPr>
            </w:pPr>
            <w:r>
              <w:t>[Comme ci-dessus]</w:t>
            </w:r>
          </w:p>
        </w:tc>
        <w:tc>
          <w:tcPr>
            <w:tcW w:w="1287" w:type="dxa"/>
            <w:gridSpan w:val="3"/>
            <w:tcBorders>
              <w:bottom w:val="single" w:sz="6" w:space="0" w:color="A6A6A6" w:themeColor="background1" w:themeShade="A6"/>
            </w:tcBorders>
            <w:shd w:val="clear" w:color="auto" w:fill="FFFFFF" w:themeFill="background1"/>
            <w:vAlign w:val="center"/>
          </w:tcPr>
          <w:p w14:paraId="7D129A17" w14:textId="73E7BCD6" w:rsidR="00824977" w:rsidRPr="003058F5" w:rsidRDefault="00CF1110" w:rsidP="00F15919">
            <w:pPr>
              <w:spacing w:line="276" w:lineRule="auto"/>
              <w:textAlignment w:val="baseline"/>
              <w:rPr>
                <w:rFonts w:eastAsia="Times New Roman" w:cs="Arial"/>
                <w:szCs w:val="16"/>
              </w:rPr>
            </w:pPr>
            <w:r>
              <w:t>[Comme ci-dessus]</w:t>
            </w:r>
          </w:p>
        </w:tc>
        <w:tc>
          <w:tcPr>
            <w:tcW w:w="1287" w:type="dxa"/>
            <w:tcBorders>
              <w:bottom w:val="single" w:sz="6" w:space="0" w:color="A6A6A6" w:themeColor="background1" w:themeShade="A6"/>
            </w:tcBorders>
            <w:shd w:val="clear" w:color="auto" w:fill="FFFFFF" w:themeFill="background1"/>
            <w:vAlign w:val="center"/>
          </w:tcPr>
          <w:p w14:paraId="4DAE5173" w14:textId="1C444B97" w:rsidR="00824977" w:rsidRPr="003058F5" w:rsidRDefault="00CF1110" w:rsidP="00F15919">
            <w:pPr>
              <w:spacing w:line="276" w:lineRule="auto"/>
              <w:textAlignment w:val="baseline"/>
              <w:rPr>
                <w:rFonts w:eastAsia="Times New Roman" w:cs="Arial"/>
                <w:szCs w:val="16"/>
              </w:rPr>
            </w:pPr>
            <w:r>
              <w:t>[Comme ci-dessus]</w:t>
            </w:r>
          </w:p>
        </w:tc>
        <w:tc>
          <w:tcPr>
            <w:tcW w:w="1287" w:type="dxa"/>
            <w:gridSpan w:val="2"/>
            <w:tcBorders>
              <w:bottom w:val="single" w:sz="6" w:space="0" w:color="A6A6A6" w:themeColor="background1" w:themeShade="A6"/>
            </w:tcBorders>
            <w:shd w:val="clear" w:color="auto" w:fill="FFFFFF" w:themeFill="background1"/>
            <w:vAlign w:val="center"/>
          </w:tcPr>
          <w:p w14:paraId="3377949A" w14:textId="03149E6D" w:rsidR="00824977" w:rsidRPr="003058F5" w:rsidRDefault="00CF1110" w:rsidP="00F15919">
            <w:pPr>
              <w:spacing w:line="276" w:lineRule="auto"/>
              <w:textAlignment w:val="baseline"/>
              <w:rPr>
                <w:rFonts w:eastAsia="Times New Roman" w:cs="Arial"/>
                <w:szCs w:val="16"/>
              </w:rPr>
            </w:pPr>
            <w:r>
              <w:t>[Comme ci-dessus]</w:t>
            </w:r>
          </w:p>
        </w:tc>
        <w:tc>
          <w:tcPr>
            <w:tcW w:w="1287" w:type="dxa"/>
            <w:gridSpan w:val="3"/>
            <w:tcBorders>
              <w:bottom w:val="single" w:sz="6" w:space="0" w:color="A6A6A6" w:themeColor="background1" w:themeShade="A6"/>
            </w:tcBorders>
            <w:shd w:val="clear" w:color="auto" w:fill="FFFFFF" w:themeFill="background1"/>
            <w:vAlign w:val="center"/>
          </w:tcPr>
          <w:p w14:paraId="0D8C9A09" w14:textId="490E6269" w:rsidR="00824977" w:rsidRPr="003058F5" w:rsidRDefault="00CF1110" w:rsidP="00F15919">
            <w:pPr>
              <w:spacing w:line="276" w:lineRule="auto"/>
              <w:textAlignment w:val="baseline"/>
              <w:rPr>
                <w:rFonts w:eastAsia="Times New Roman" w:cs="Arial"/>
                <w:szCs w:val="16"/>
              </w:rPr>
            </w:pPr>
            <w:r>
              <w:t>[Comme ci-dessus]</w:t>
            </w:r>
          </w:p>
        </w:tc>
      </w:tr>
      <w:tr w:rsidR="00BE0934" w:rsidRPr="003058F5" w14:paraId="3135D0D7" w14:textId="77777777" w:rsidTr="00BE0934">
        <w:trPr>
          <w:trHeight w:val="465"/>
        </w:trPr>
        <w:tc>
          <w:tcPr>
            <w:tcW w:w="3309"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53973F07" w14:textId="65C7B486" w:rsidR="00824977" w:rsidRPr="003058F5" w:rsidRDefault="00824977" w:rsidP="00824977">
            <w:pPr>
              <w:spacing w:line="276" w:lineRule="auto"/>
              <w:textAlignment w:val="baseline"/>
              <w:rPr>
                <w:rFonts w:eastAsia="Times New Roman" w:cs="Arial"/>
                <w:szCs w:val="16"/>
              </w:rPr>
            </w:pPr>
            <w:r>
              <w:t xml:space="preserve">(D) Les critères ESG majeurs contribuent à déterminer la construction des positions courtes </w:t>
            </w:r>
          </w:p>
        </w:tc>
        <w:tc>
          <w:tcPr>
            <w:tcW w:w="1286" w:type="dxa"/>
            <w:shd w:val="clear" w:color="auto" w:fill="EDEDED" w:themeFill="accent3" w:themeFillTint="33"/>
            <w:vAlign w:val="center"/>
          </w:tcPr>
          <w:p w14:paraId="3AD1F589" w14:textId="3965616E" w:rsidR="008819D9" w:rsidRPr="003058F5" w:rsidRDefault="00CF1110">
            <w:pPr>
              <w:spacing w:line="276" w:lineRule="auto"/>
              <w:textAlignment w:val="baseline"/>
              <w:rPr>
                <w:rFonts w:eastAsia="Times New Roman" w:cs="Arial"/>
                <w:szCs w:val="16"/>
              </w:rPr>
            </w:pPr>
            <w:r>
              <w:t>[Comme ci-dessus]</w:t>
            </w:r>
          </w:p>
        </w:tc>
        <w:tc>
          <w:tcPr>
            <w:tcW w:w="1287" w:type="dxa"/>
            <w:shd w:val="clear" w:color="auto" w:fill="FFFFFF" w:themeFill="background1"/>
            <w:vAlign w:val="center"/>
          </w:tcPr>
          <w:p w14:paraId="6C59E4F4" w14:textId="01579042" w:rsidR="00824977" w:rsidRPr="003058F5" w:rsidRDefault="00CF1110" w:rsidP="00F15919">
            <w:pPr>
              <w:spacing w:line="276" w:lineRule="auto"/>
              <w:textAlignment w:val="baseline"/>
              <w:rPr>
                <w:rFonts w:eastAsia="Times New Roman" w:cs="Arial"/>
                <w:szCs w:val="16"/>
              </w:rPr>
            </w:pPr>
            <w:r>
              <w:t>[Comme ci-dessus]</w:t>
            </w:r>
          </w:p>
        </w:tc>
        <w:tc>
          <w:tcPr>
            <w:tcW w:w="1287" w:type="dxa"/>
            <w:gridSpan w:val="4"/>
            <w:tcBorders>
              <w:bottom w:val="single" w:sz="6" w:space="0" w:color="A6A6A6" w:themeColor="background1" w:themeShade="A6"/>
            </w:tcBorders>
            <w:shd w:val="clear" w:color="auto" w:fill="FFFFFF" w:themeFill="background1"/>
            <w:vAlign w:val="center"/>
          </w:tcPr>
          <w:p w14:paraId="4FB156AE" w14:textId="1745D88B" w:rsidR="00824977" w:rsidRPr="003058F5" w:rsidRDefault="00CF1110" w:rsidP="00F15919">
            <w:pPr>
              <w:spacing w:line="276" w:lineRule="auto"/>
              <w:textAlignment w:val="baseline"/>
              <w:rPr>
                <w:rFonts w:eastAsia="Times New Roman" w:cs="Arial"/>
                <w:szCs w:val="16"/>
              </w:rPr>
            </w:pPr>
            <w:r>
              <w:t>[Comme ci-dessus]</w:t>
            </w:r>
          </w:p>
        </w:tc>
        <w:tc>
          <w:tcPr>
            <w:tcW w:w="1287" w:type="dxa"/>
            <w:tcBorders>
              <w:bottom w:val="single" w:sz="6" w:space="0" w:color="A6A6A6" w:themeColor="background1" w:themeShade="A6"/>
            </w:tcBorders>
            <w:shd w:val="clear" w:color="auto" w:fill="FFFFFF" w:themeFill="background1"/>
            <w:vAlign w:val="center"/>
          </w:tcPr>
          <w:p w14:paraId="61573CBB" w14:textId="6D91188C" w:rsidR="00824977" w:rsidRPr="003058F5" w:rsidRDefault="00CF1110" w:rsidP="00F15919">
            <w:pPr>
              <w:spacing w:line="276" w:lineRule="auto"/>
              <w:textAlignment w:val="baseline"/>
              <w:rPr>
                <w:rFonts w:eastAsia="Times New Roman" w:cs="Arial"/>
                <w:szCs w:val="16"/>
              </w:rPr>
            </w:pPr>
            <w:r>
              <w:t>[Comme ci-dessus]</w:t>
            </w:r>
          </w:p>
        </w:tc>
        <w:tc>
          <w:tcPr>
            <w:tcW w:w="1287" w:type="dxa"/>
            <w:tcBorders>
              <w:bottom w:val="single" w:sz="6" w:space="0" w:color="A6A6A6" w:themeColor="background1" w:themeShade="A6"/>
            </w:tcBorders>
            <w:shd w:val="clear" w:color="auto" w:fill="FFFFFF" w:themeFill="background1"/>
            <w:vAlign w:val="center"/>
          </w:tcPr>
          <w:p w14:paraId="6AC1C4DF" w14:textId="7267A635" w:rsidR="00824977" w:rsidRPr="003058F5" w:rsidRDefault="00CF1110" w:rsidP="00F15919">
            <w:pPr>
              <w:spacing w:line="276" w:lineRule="auto"/>
              <w:textAlignment w:val="baseline"/>
              <w:rPr>
                <w:rFonts w:eastAsia="Times New Roman" w:cs="Arial"/>
                <w:szCs w:val="16"/>
              </w:rPr>
            </w:pPr>
            <w:r>
              <w:t>[Comme ci-dessus]</w:t>
            </w:r>
          </w:p>
        </w:tc>
        <w:tc>
          <w:tcPr>
            <w:tcW w:w="1287" w:type="dxa"/>
            <w:gridSpan w:val="3"/>
            <w:tcBorders>
              <w:bottom w:val="single" w:sz="6" w:space="0" w:color="A6A6A6" w:themeColor="background1" w:themeShade="A6"/>
            </w:tcBorders>
            <w:shd w:val="clear" w:color="auto" w:fill="FFFFFF" w:themeFill="background1"/>
            <w:vAlign w:val="center"/>
          </w:tcPr>
          <w:p w14:paraId="26AA9147" w14:textId="0D6044B4" w:rsidR="00824977" w:rsidRPr="003058F5" w:rsidRDefault="00CF1110" w:rsidP="00F15919">
            <w:pPr>
              <w:spacing w:line="276" w:lineRule="auto"/>
              <w:textAlignment w:val="baseline"/>
              <w:rPr>
                <w:rFonts w:eastAsia="Times New Roman" w:cs="Arial"/>
                <w:szCs w:val="16"/>
              </w:rPr>
            </w:pPr>
            <w:r>
              <w:t>[Comme ci-dessus]</w:t>
            </w:r>
          </w:p>
        </w:tc>
        <w:tc>
          <w:tcPr>
            <w:tcW w:w="1287" w:type="dxa"/>
            <w:tcBorders>
              <w:bottom w:val="single" w:sz="6" w:space="0" w:color="A6A6A6" w:themeColor="background1" w:themeShade="A6"/>
            </w:tcBorders>
            <w:shd w:val="clear" w:color="auto" w:fill="FFFFFF" w:themeFill="background1"/>
            <w:vAlign w:val="center"/>
          </w:tcPr>
          <w:p w14:paraId="78942AB4" w14:textId="41387433" w:rsidR="00824977" w:rsidRPr="003058F5" w:rsidRDefault="00CF1110" w:rsidP="00F15919">
            <w:pPr>
              <w:spacing w:line="276" w:lineRule="auto"/>
              <w:textAlignment w:val="baseline"/>
              <w:rPr>
                <w:rFonts w:eastAsia="Times New Roman" w:cs="Arial"/>
                <w:szCs w:val="16"/>
              </w:rPr>
            </w:pPr>
            <w:r>
              <w:t>[Comme ci-dessus]</w:t>
            </w:r>
          </w:p>
        </w:tc>
        <w:tc>
          <w:tcPr>
            <w:tcW w:w="1287" w:type="dxa"/>
            <w:gridSpan w:val="2"/>
            <w:tcBorders>
              <w:bottom w:val="single" w:sz="6" w:space="0" w:color="A6A6A6" w:themeColor="background1" w:themeShade="A6"/>
            </w:tcBorders>
            <w:shd w:val="clear" w:color="auto" w:fill="FFFFFF" w:themeFill="background1"/>
            <w:vAlign w:val="center"/>
          </w:tcPr>
          <w:p w14:paraId="67373A64" w14:textId="693538F8" w:rsidR="00824977" w:rsidRPr="003058F5" w:rsidRDefault="00CF1110" w:rsidP="00F15919">
            <w:pPr>
              <w:spacing w:line="276" w:lineRule="auto"/>
              <w:textAlignment w:val="baseline"/>
              <w:rPr>
                <w:rFonts w:eastAsia="Times New Roman" w:cs="Arial"/>
                <w:szCs w:val="16"/>
              </w:rPr>
            </w:pPr>
            <w:r>
              <w:t>[Comme ci-dessus]</w:t>
            </w:r>
          </w:p>
        </w:tc>
        <w:tc>
          <w:tcPr>
            <w:tcW w:w="1287" w:type="dxa"/>
            <w:gridSpan w:val="3"/>
            <w:tcBorders>
              <w:bottom w:val="single" w:sz="6" w:space="0" w:color="A6A6A6" w:themeColor="background1" w:themeShade="A6"/>
            </w:tcBorders>
            <w:shd w:val="clear" w:color="auto" w:fill="FFFFFF" w:themeFill="background1"/>
            <w:vAlign w:val="center"/>
          </w:tcPr>
          <w:p w14:paraId="4CC80A09" w14:textId="39D76440" w:rsidR="00824977" w:rsidRPr="003058F5" w:rsidRDefault="00CF1110" w:rsidP="00F15919">
            <w:pPr>
              <w:spacing w:line="276" w:lineRule="auto"/>
              <w:textAlignment w:val="baseline"/>
              <w:rPr>
                <w:rFonts w:eastAsia="Times New Roman" w:cs="Arial"/>
                <w:szCs w:val="16"/>
              </w:rPr>
            </w:pPr>
            <w:r>
              <w:t>[Comme ci-dessus]</w:t>
            </w:r>
          </w:p>
        </w:tc>
      </w:tr>
      <w:tr w:rsidR="00BE0934" w:rsidRPr="003058F5" w14:paraId="0C8DF56D" w14:textId="77777777" w:rsidTr="00BE0934">
        <w:trPr>
          <w:trHeight w:val="465"/>
        </w:trPr>
        <w:tc>
          <w:tcPr>
            <w:tcW w:w="3309"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4A183D62" w14:textId="3B2CAD57" w:rsidR="00824977" w:rsidRPr="003058F5" w:rsidRDefault="00824977" w:rsidP="00824977">
            <w:pPr>
              <w:spacing w:line="276" w:lineRule="auto"/>
              <w:textAlignment w:val="baseline"/>
            </w:pPr>
            <w:r>
              <w:lastRenderedPageBreak/>
              <w:t>(E) Autres façons dont les critères ESG majeurs contribuent à la construction de votre portefeuille et/ou au processus de sélection d’indices de référence</w:t>
            </w:r>
          </w:p>
          <w:p w14:paraId="39932BE6" w14:textId="34F9B39C" w:rsidR="00824977" w:rsidRPr="003058F5" w:rsidRDefault="00393227" w:rsidP="00824977">
            <w:pPr>
              <w:spacing w:line="276" w:lineRule="auto"/>
              <w:textAlignment w:val="baseline"/>
              <w:rPr>
                <w:rFonts w:eastAsia="Times New Roman" w:cs="Arial"/>
                <w:szCs w:val="16"/>
              </w:rPr>
            </w:pPr>
            <w:r>
              <w:t>Veuillez préciser</w:t>
            </w:r>
            <w:r w:rsidR="00767929">
              <w:t> :</w:t>
            </w:r>
            <w:r>
              <w:t xml:space="preserve"> ____ [Texte libre obligatoire</w:t>
            </w:r>
            <w:r w:rsidR="00767929">
              <w:t> :</w:t>
            </w:r>
            <w:r>
              <w:t xml:space="preserve"> taille moyenne]</w:t>
            </w:r>
          </w:p>
        </w:tc>
        <w:tc>
          <w:tcPr>
            <w:tcW w:w="1286" w:type="dxa"/>
            <w:shd w:val="clear" w:color="auto" w:fill="EDEDED" w:themeFill="accent3" w:themeFillTint="33"/>
            <w:vAlign w:val="center"/>
          </w:tcPr>
          <w:p w14:paraId="4B810607" w14:textId="01FF14C1" w:rsidR="008819D9" w:rsidRPr="003058F5" w:rsidRDefault="00CF1110">
            <w:pPr>
              <w:spacing w:line="276" w:lineRule="auto"/>
              <w:textAlignment w:val="baseline"/>
              <w:rPr>
                <w:rFonts w:eastAsia="Times New Roman" w:cs="Arial"/>
                <w:szCs w:val="16"/>
              </w:rPr>
            </w:pPr>
            <w:r>
              <w:t>[Comme ci-dessus]</w:t>
            </w:r>
          </w:p>
        </w:tc>
        <w:tc>
          <w:tcPr>
            <w:tcW w:w="1287" w:type="dxa"/>
            <w:shd w:val="clear" w:color="auto" w:fill="FFFFFF" w:themeFill="background1"/>
            <w:vAlign w:val="center"/>
          </w:tcPr>
          <w:p w14:paraId="5E07ED9F" w14:textId="31CBDE7F" w:rsidR="00824977" w:rsidRPr="003058F5" w:rsidRDefault="00CF1110" w:rsidP="00F15919">
            <w:pPr>
              <w:spacing w:line="276" w:lineRule="auto"/>
              <w:textAlignment w:val="baseline"/>
              <w:rPr>
                <w:rFonts w:eastAsia="Times New Roman" w:cs="Arial"/>
                <w:szCs w:val="16"/>
              </w:rPr>
            </w:pPr>
            <w:r>
              <w:t>[Comme ci-dessus]</w:t>
            </w:r>
          </w:p>
        </w:tc>
        <w:tc>
          <w:tcPr>
            <w:tcW w:w="1287" w:type="dxa"/>
            <w:gridSpan w:val="4"/>
            <w:tcBorders>
              <w:bottom w:val="single" w:sz="6" w:space="0" w:color="A6A6A6" w:themeColor="background1" w:themeShade="A6"/>
            </w:tcBorders>
            <w:shd w:val="clear" w:color="auto" w:fill="FFFFFF" w:themeFill="background1"/>
            <w:vAlign w:val="center"/>
          </w:tcPr>
          <w:p w14:paraId="7133C925" w14:textId="75237252" w:rsidR="00824977" w:rsidRPr="003058F5" w:rsidRDefault="00CF1110" w:rsidP="00F15919">
            <w:pPr>
              <w:spacing w:line="276" w:lineRule="auto"/>
              <w:textAlignment w:val="baseline"/>
              <w:rPr>
                <w:rFonts w:eastAsia="Times New Roman" w:cs="Arial"/>
                <w:szCs w:val="16"/>
              </w:rPr>
            </w:pPr>
            <w:r>
              <w:t>[Comme ci-dessus]</w:t>
            </w:r>
          </w:p>
        </w:tc>
        <w:tc>
          <w:tcPr>
            <w:tcW w:w="1287" w:type="dxa"/>
            <w:tcBorders>
              <w:bottom w:val="single" w:sz="6" w:space="0" w:color="A6A6A6" w:themeColor="background1" w:themeShade="A6"/>
            </w:tcBorders>
            <w:shd w:val="clear" w:color="auto" w:fill="FFFFFF" w:themeFill="background1"/>
            <w:vAlign w:val="center"/>
          </w:tcPr>
          <w:p w14:paraId="6AB88F38" w14:textId="6BE5AFDE" w:rsidR="00824977" w:rsidRPr="003058F5" w:rsidRDefault="00CF1110" w:rsidP="00F15919">
            <w:pPr>
              <w:spacing w:line="276" w:lineRule="auto"/>
              <w:textAlignment w:val="baseline"/>
              <w:rPr>
                <w:rFonts w:eastAsia="Times New Roman" w:cs="Arial"/>
                <w:szCs w:val="16"/>
              </w:rPr>
            </w:pPr>
            <w:r>
              <w:t>[Comme ci-dessus]</w:t>
            </w:r>
          </w:p>
        </w:tc>
        <w:tc>
          <w:tcPr>
            <w:tcW w:w="1287" w:type="dxa"/>
            <w:tcBorders>
              <w:bottom w:val="single" w:sz="6" w:space="0" w:color="A6A6A6" w:themeColor="background1" w:themeShade="A6"/>
            </w:tcBorders>
            <w:shd w:val="clear" w:color="auto" w:fill="FFFFFF" w:themeFill="background1"/>
            <w:vAlign w:val="center"/>
          </w:tcPr>
          <w:p w14:paraId="455B3E12" w14:textId="6598D00E" w:rsidR="00824977" w:rsidRPr="003058F5" w:rsidRDefault="00CF1110" w:rsidP="00F15919">
            <w:pPr>
              <w:spacing w:line="276" w:lineRule="auto"/>
              <w:textAlignment w:val="baseline"/>
              <w:rPr>
                <w:rFonts w:eastAsia="Times New Roman" w:cs="Arial"/>
                <w:szCs w:val="16"/>
              </w:rPr>
            </w:pPr>
            <w:r>
              <w:t>[Comme ci-dessus]</w:t>
            </w:r>
          </w:p>
        </w:tc>
        <w:tc>
          <w:tcPr>
            <w:tcW w:w="1287" w:type="dxa"/>
            <w:gridSpan w:val="3"/>
            <w:tcBorders>
              <w:bottom w:val="single" w:sz="6" w:space="0" w:color="A6A6A6" w:themeColor="background1" w:themeShade="A6"/>
            </w:tcBorders>
            <w:shd w:val="clear" w:color="auto" w:fill="FFFFFF" w:themeFill="background1"/>
            <w:vAlign w:val="center"/>
          </w:tcPr>
          <w:p w14:paraId="58691380" w14:textId="3272A565" w:rsidR="00824977" w:rsidRPr="003058F5" w:rsidRDefault="00CF1110" w:rsidP="00F15919">
            <w:pPr>
              <w:spacing w:line="276" w:lineRule="auto"/>
              <w:textAlignment w:val="baseline"/>
              <w:rPr>
                <w:rFonts w:eastAsia="Times New Roman" w:cs="Arial"/>
                <w:szCs w:val="16"/>
              </w:rPr>
            </w:pPr>
            <w:r>
              <w:t>[Comme ci-dessus]</w:t>
            </w:r>
          </w:p>
        </w:tc>
        <w:tc>
          <w:tcPr>
            <w:tcW w:w="1287" w:type="dxa"/>
            <w:tcBorders>
              <w:bottom w:val="single" w:sz="6" w:space="0" w:color="A6A6A6" w:themeColor="background1" w:themeShade="A6"/>
            </w:tcBorders>
            <w:shd w:val="clear" w:color="auto" w:fill="FFFFFF" w:themeFill="background1"/>
            <w:vAlign w:val="center"/>
          </w:tcPr>
          <w:p w14:paraId="521E02F8" w14:textId="733FD447" w:rsidR="00824977" w:rsidRPr="003058F5" w:rsidRDefault="00CF1110" w:rsidP="00F15919">
            <w:pPr>
              <w:spacing w:line="276" w:lineRule="auto"/>
              <w:textAlignment w:val="baseline"/>
              <w:rPr>
                <w:rFonts w:eastAsia="Times New Roman" w:cs="Arial"/>
                <w:szCs w:val="16"/>
              </w:rPr>
            </w:pPr>
            <w:r>
              <w:t>[Comme ci-dessus]</w:t>
            </w:r>
          </w:p>
        </w:tc>
        <w:tc>
          <w:tcPr>
            <w:tcW w:w="1287" w:type="dxa"/>
            <w:gridSpan w:val="2"/>
            <w:tcBorders>
              <w:bottom w:val="single" w:sz="6" w:space="0" w:color="A6A6A6" w:themeColor="background1" w:themeShade="A6"/>
            </w:tcBorders>
            <w:shd w:val="clear" w:color="auto" w:fill="FFFFFF" w:themeFill="background1"/>
            <w:vAlign w:val="center"/>
          </w:tcPr>
          <w:p w14:paraId="6464CC64" w14:textId="3B2A0F94" w:rsidR="00824977" w:rsidRPr="003058F5" w:rsidRDefault="00CF1110" w:rsidP="00F15919">
            <w:pPr>
              <w:spacing w:line="276" w:lineRule="auto"/>
              <w:textAlignment w:val="baseline"/>
              <w:rPr>
                <w:rFonts w:eastAsia="Times New Roman" w:cs="Arial"/>
                <w:szCs w:val="16"/>
              </w:rPr>
            </w:pPr>
            <w:r>
              <w:t>[Comme ci-dessus]</w:t>
            </w:r>
          </w:p>
        </w:tc>
        <w:tc>
          <w:tcPr>
            <w:tcW w:w="1287" w:type="dxa"/>
            <w:gridSpan w:val="3"/>
            <w:tcBorders>
              <w:bottom w:val="single" w:sz="6" w:space="0" w:color="A6A6A6" w:themeColor="background1" w:themeShade="A6"/>
            </w:tcBorders>
            <w:shd w:val="clear" w:color="auto" w:fill="FFFFFF" w:themeFill="background1"/>
            <w:vAlign w:val="center"/>
          </w:tcPr>
          <w:p w14:paraId="0A02128A" w14:textId="57A46ADE" w:rsidR="00824977" w:rsidRPr="003058F5" w:rsidRDefault="00CF1110" w:rsidP="00F15919">
            <w:pPr>
              <w:spacing w:line="276" w:lineRule="auto"/>
              <w:textAlignment w:val="baseline"/>
              <w:rPr>
                <w:rFonts w:eastAsia="Times New Roman" w:cs="Arial"/>
                <w:szCs w:val="16"/>
              </w:rPr>
            </w:pPr>
            <w:r>
              <w:t>[Comme ci-dessus]</w:t>
            </w:r>
          </w:p>
        </w:tc>
      </w:tr>
      <w:tr w:rsidR="00BE0934" w:rsidRPr="003058F5" w14:paraId="03BA3A5A" w14:textId="77777777" w:rsidTr="00BE0934">
        <w:trPr>
          <w:trHeight w:val="465"/>
        </w:trPr>
        <w:tc>
          <w:tcPr>
            <w:tcW w:w="3309"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6FD58A0E" w14:textId="4A392ADC" w:rsidR="00824977" w:rsidRPr="003058F5" w:rsidRDefault="00824977" w:rsidP="00824977">
            <w:pPr>
              <w:spacing w:line="276" w:lineRule="auto"/>
              <w:textAlignment w:val="baseline"/>
              <w:rPr>
                <w:rFonts w:eastAsia="Times New Roman" w:cs="Arial"/>
                <w:szCs w:val="16"/>
              </w:rPr>
            </w:pPr>
            <w:r>
              <w:t>(F) Notre processus de sélection de titres, de construction de portefeuille ou de sélection d'indices de référence ne prend pas en compte les critères ESG majeurs</w:t>
            </w:r>
          </w:p>
        </w:tc>
        <w:tc>
          <w:tcPr>
            <w:tcW w:w="1286" w:type="dxa"/>
            <w:tcBorders>
              <w:bottom w:val="single" w:sz="6" w:space="0" w:color="A6A6A6" w:themeColor="background1" w:themeShade="A6"/>
            </w:tcBorders>
            <w:shd w:val="clear" w:color="auto" w:fill="EDEDED" w:themeFill="accent3" w:themeFillTint="33"/>
            <w:vAlign w:val="center"/>
          </w:tcPr>
          <w:p w14:paraId="62A3F75F" w14:textId="77777777" w:rsidR="008819D9" w:rsidRPr="003058F5" w:rsidRDefault="008819D9">
            <w:pPr>
              <w:pStyle w:val="Paragraphedeliste"/>
              <w:numPr>
                <w:ilvl w:val="0"/>
                <w:numId w:val="92"/>
              </w:numPr>
              <w:spacing w:line="276" w:lineRule="auto"/>
              <w:jc w:val="center"/>
              <w:textAlignment w:val="baseline"/>
              <w:rPr>
                <w:rFonts w:eastAsia="Times New Roman" w:cs="Arial"/>
                <w:szCs w:val="16"/>
                <w:lang w:eastAsia="en-GB"/>
              </w:rPr>
            </w:pPr>
          </w:p>
        </w:tc>
        <w:tc>
          <w:tcPr>
            <w:tcW w:w="1287" w:type="dxa"/>
            <w:tcBorders>
              <w:bottom w:val="single" w:sz="6" w:space="0" w:color="A6A6A6" w:themeColor="background1" w:themeShade="A6"/>
            </w:tcBorders>
            <w:shd w:val="clear" w:color="auto" w:fill="FFFFFF" w:themeFill="background1"/>
            <w:vAlign w:val="center"/>
          </w:tcPr>
          <w:p w14:paraId="6E1E3FB5" w14:textId="50658B75" w:rsidR="00824977" w:rsidRPr="003058F5" w:rsidRDefault="00824977" w:rsidP="00F15919">
            <w:pPr>
              <w:pStyle w:val="Paragraphedeliste"/>
              <w:numPr>
                <w:ilvl w:val="0"/>
                <w:numId w:val="92"/>
              </w:numPr>
              <w:spacing w:line="276" w:lineRule="auto"/>
              <w:jc w:val="center"/>
              <w:textAlignment w:val="baseline"/>
              <w:rPr>
                <w:rFonts w:eastAsia="Times New Roman" w:cs="Arial"/>
                <w:szCs w:val="16"/>
                <w:lang w:eastAsia="en-GB"/>
              </w:rPr>
            </w:pPr>
          </w:p>
        </w:tc>
        <w:tc>
          <w:tcPr>
            <w:tcW w:w="1287" w:type="dxa"/>
            <w:gridSpan w:val="4"/>
            <w:tcBorders>
              <w:bottom w:val="single" w:sz="6" w:space="0" w:color="A6A6A6" w:themeColor="background1" w:themeShade="A6"/>
            </w:tcBorders>
            <w:shd w:val="clear" w:color="auto" w:fill="FFFFFF" w:themeFill="background1"/>
            <w:vAlign w:val="center"/>
          </w:tcPr>
          <w:p w14:paraId="197EFB77" w14:textId="77777777" w:rsidR="00824977" w:rsidRPr="003058F5" w:rsidRDefault="00824977" w:rsidP="00F15919">
            <w:pPr>
              <w:pStyle w:val="Paragraphedeliste"/>
              <w:numPr>
                <w:ilvl w:val="0"/>
                <w:numId w:val="92"/>
              </w:numPr>
              <w:spacing w:line="276" w:lineRule="auto"/>
              <w:jc w:val="center"/>
              <w:textAlignment w:val="baseline"/>
              <w:rPr>
                <w:rFonts w:eastAsia="Times New Roman" w:cs="Arial"/>
                <w:szCs w:val="16"/>
                <w:lang w:eastAsia="en-GB"/>
              </w:rPr>
            </w:pPr>
          </w:p>
        </w:tc>
        <w:tc>
          <w:tcPr>
            <w:tcW w:w="1287" w:type="dxa"/>
            <w:tcBorders>
              <w:bottom w:val="single" w:sz="6" w:space="0" w:color="A6A6A6" w:themeColor="background1" w:themeShade="A6"/>
            </w:tcBorders>
            <w:shd w:val="clear" w:color="auto" w:fill="FFFFFF" w:themeFill="background1"/>
            <w:vAlign w:val="center"/>
          </w:tcPr>
          <w:p w14:paraId="3781CFAF" w14:textId="77777777" w:rsidR="00824977" w:rsidRPr="003058F5" w:rsidRDefault="00824977" w:rsidP="00F15919">
            <w:pPr>
              <w:pStyle w:val="Paragraphedeliste"/>
              <w:numPr>
                <w:ilvl w:val="0"/>
                <w:numId w:val="92"/>
              </w:numPr>
              <w:spacing w:line="276" w:lineRule="auto"/>
              <w:jc w:val="center"/>
              <w:textAlignment w:val="baseline"/>
              <w:rPr>
                <w:rFonts w:eastAsia="Times New Roman" w:cs="Arial"/>
                <w:szCs w:val="16"/>
                <w:lang w:eastAsia="en-GB"/>
              </w:rPr>
            </w:pPr>
          </w:p>
        </w:tc>
        <w:tc>
          <w:tcPr>
            <w:tcW w:w="1287" w:type="dxa"/>
            <w:tcBorders>
              <w:bottom w:val="single" w:sz="6" w:space="0" w:color="A6A6A6" w:themeColor="background1" w:themeShade="A6"/>
            </w:tcBorders>
            <w:shd w:val="clear" w:color="auto" w:fill="FFFFFF" w:themeFill="background1"/>
            <w:vAlign w:val="center"/>
          </w:tcPr>
          <w:p w14:paraId="0A09430C" w14:textId="77777777" w:rsidR="00824977" w:rsidRPr="003058F5" w:rsidRDefault="00824977" w:rsidP="00F15919">
            <w:pPr>
              <w:pStyle w:val="Paragraphedeliste"/>
              <w:numPr>
                <w:ilvl w:val="0"/>
                <w:numId w:val="92"/>
              </w:numPr>
              <w:spacing w:line="276" w:lineRule="auto"/>
              <w:jc w:val="center"/>
              <w:textAlignment w:val="baseline"/>
              <w:rPr>
                <w:rFonts w:eastAsia="Times New Roman" w:cs="Arial"/>
                <w:szCs w:val="16"/>
                <w:lang w:eastAsia="en-GB"/>
              </w:rPr>
            </w:pPr>
          </w:p>
        </w:tc>
        <w:tc>
          <w:tcPr>
            <w:tcW w:w="1287" w:type="dxa"/>
            <w:gridSpan w:val="3"/>
            <w:tcBorders>
              <w:bottom w:val="single" w:sz="6" w:space="0" w:color="A6A6A6" w:themeColor="background1" w:themeShade="A6"/>
            </w:tcBorders>
            <w:shd w:val="clear" w:color="auto" w:fill="FFFFFF" w:themeFill="background1"/>
            <w:vAlign w:val="center"/>
          </w:tcPr>
          <w:p w14:paraId="205DC800" w14:textId="77777777" w:rsidR="00824977" w:rsidRPr="003058F5" w:rsidRDefault="00824977" w:rsidP="00F15919">
            <w:pPr>
              <w:pStyle w:val="Paragraphedeliste"/>
              <w:numPr>
                <w:ilvl w:val="0"/>
                <w:numId w:val="92"/>
              </w:numPr>
              <w:spacing w:line="276" w:lineRule="auto"/>
              <w:jc w:val="center"/>
              <w:textAlignment w:val="baseline"/>
              <w:rPr>
                <w:rFonts w:eastAsia="Times New Roman" w:cs="Arial"/>
                <w:szCs w:val="16"/>
                <w:lang w:eastAsia="en-GB"/>
              </w:rPr>
            </w:pPr>
          </w:p>
        </w:tc>
        <w:tc>
          <w:tcPr>
            <w:tcW w:w="1287" w:type="dxa"/>
            <w:tcBorders>
              <w:bottom w:val="single" w:sz="6" w:space="0" w:color="A6A6A6" w:themeColor="background1" w:themeShade="A6"/>
            </w:tcBorders>
            <w:shd w:val="clear" w:color="auto" w:fill="FFFFFF" w:themeFill="background1"/>
            <w:vAlign w:val="center"/>
          </w:tcPr>
          <w:p w14:paraId="48CE7B05" w14:textId="77777777" w:rsidR="00824977" w:rsidRPr="003058F5" w:rsidRDefault="00824977" w:rsidP="00F15919">
            <w:pPr>
              <w:pStyle w:val="Paragraphedeliste"/>
              <w:numPr>
                <w:ilvl w:val="0"/>
                <w:numId w:val="92"/>
              </w:numPr>
              <w:spacing w:line="276" w:lineRule="auto"/>
              <w:jc w:val="center"/>
              <w:textAlignment w:val="baseline"/>
              <w:rPr>
                <w:rFonts w:eastAsia="Times New Roman" w:cs="Arial"/>
                <w:szCs w:val="16"/>
                <w:lang w:eastAsia="en-GB"/>
              </w:rPr>
            </w:pPr>
          </w:p>
        </w:tc>
        <w:tc>
          <w:tcPr>
            <w:tcW w:w="1287" w:type="dxa"/>
            <w:gridSpan w:val="2"/>
            <w:tcBorders>
              <w:bottom w:val="single" w:sz="6" w:space="0" w:color="A6A6A6" w:themeColor="background1" w:themeShade="A6"/>
            </w:tcBorders>
            <w:shd w:val="clear" w:color="auto" w:fill="FFFFFF" w:themeFill="background1"/>
            <w:vAlign w:val="center"/>
          </w:tcPr>
          <w:p w14:paraId="3452528C" w14:textId="77777777" w:rsidR="00824977" w:rsidRPr="003058F5" w:rsidRDefault="00824977" w:rsidP="00F15919">
            <w:pPr>
              <w:pStyle w:val="Paragraphedeliste"/>
              <w:numPr>
                <w:ilvl w:val="0"/>
                <w:numId w:val="92"/>
              </w:numPr>
              <w:spacing w:line="276" w:lineRule="auto"/>
              <w:jc w:val="center"/>
              <w:textAlignment w:val="baseline"/>
              <w:rPr>
                <w:rFonts w:eastAsia="Times New Roman" w:cs="Arial"/>
                <w:szCs w:val="16"/>
                <w:lang w:eastAsia="en-GB"/>
              </w:rPr>
            </w:pPr>
          </w:p>
        </w:tc>
        <w:tc>
          <w:tcPr>
            <w:tcW w:w="1287" w:type="dxa"/>
            <w:gridSpan w:val="3"/>
            <w:tcBorders>
              <w:bottom w:val="single" w:sz="6" w:space="0" w:color="A6A6A6" w:themeColor="background1" w:themeShade="A6"/>
            </w:tcBorders>
            <w:shd w:val="clear" w:color="auto" w:fill="FFFFFF" w:themeFill="background1"/>
            <w:vAlign w:val="center"/>
          </w:tcPr>
          <w:p w14:paraId="553595A2" w14:textId="77777777" w:rsidR="00824977" w:rsidRPr="003058F5" w:rsidRDefault="00824977" w:rsidP="00F15919">
            <w:pPr>
              <w:pStyle w:val="Paragraphedeliste"/>
              <w:numPr>
                <w:ilvl w:val="0"/>
                <w:numId w:val="92"/>
              </w:numPr>
              <w:spacing w:line="276" w:lineRule="auto"/>
              <w:jc w:val="center"/>
              <w:textAlignment w:val="baseline"/>
              <w:rPr>
                <w:rFonts w:eastAsia="Times New Roman" w:cs="Arial"/>
                <w:szCs w:val="16"/>
                <w:lang w:eastAsia="en-GB"/>
              </w:rPr>
            </w:pPr>
          </w:p>
        </w:tc>
      </w:tr>
      <w:tr w:rsidR="00CE6374" w:rsidRPr="003058F5" w14:paraId="5B310B9A" w14:textId="77777777" w:rsidTr="00F15919">
        <w:trPr>
          <w:gridAfter w:val="2"/>
          <w:wAfter w:w="15" w:type="dxa"/>
          <w:trHeight w:val="300"/>
        </w:trPr>
        <w:tc>
          <w:tcPr>
            <w:tcW w:w="14876" w:type="dxa"/>
            <w:gridSpan w:val="17"/>
            <w:tcBorders>
              <w:left w:val="nil"/>
              <w:right w:val="nil"/>
            </w:tcBorders>
            <w:shd w:val="clear" w:color="auto" w:fill="FFFFFF" w:themeFill="background1"/>
            <w:tcMar>
              <w:top w:w="0" w:type="dxa"/>
              <w:bottom w:w="0" w:type="dxa"/>
            </w:tcMar>
            <w:vAlign w:val="center"/>
          </w:tcPr>
          <w:p w14:paraId="79555F2C" w14:textId="77777777" w:rsidR="00CE6374" w:rsidRPr="003058F5" w:rsidRDefault="00CE6374" w:rsidP="00CE6374">
            <w:pPr>
              <w:spacing w:line="240" w:lineRule="auto"/>
              <w:jc w:val="center"/>
              <w:textAlignment w:val="baseline"/>
              <w:rPr>
                <w:rStyle w:val="Lienhypertexte"/>
                <w:sz w:val="16"/>
                <w:szCs w:val="16"/>
              </w:rPr>
            </w:pPr>
          </w:p>
        </w:tc>
      </w:tr>
      <w:tr w:rsidR="00CE6374" w:rsidRPr="003058F5" w14:paraId="50122C2C" w14:textId="77777777" w:rsidTr="00F15919">
        <w:trPr>
          <w:gridAfter w:val="2"/>
          <w:wAfter w:w="15" w:type="dxa"/>
          <w:trHeight w:val="300"/>
        </w:trPr>
        <w:tc>
          <w:tcPr>
            <w:tcW w:w="14876" w:type="dxa"/>
            <w:gridSpan w:val="17"/>
            <w:shd w:val="clear" w:color="auto" w:fill="0070C0"/>
            <w:vAlign w:val="center"/>
          </w:tcPr>
          <w:p w14:paraId="0396ED17" w14:textId="77777777" w:rsidR="00CE6374" w:rsidRPr="003058F5" w:rsidRDefault="00CE6374" w:rsidP="00CE6374">
            <w:pPr>
              <w:rPr>
                <w:rStyle w:val="Lienhypertexte"/>
                <w:b/>
                <w:bCs/>
                <w:color w:val="FFFFFF" w:themeColor="background1"/>
                <w:sz w:val="18"/>
                <w:szCs w:val="18"/>
              </w:rPr>
            </w:pPr>
            <w:r>
              <w:rPr>
                <w:b/>
                <w:color w:val="FFFFFF" w:themeColor="background1"/>
                <w:sz w:val="18"/>
              </w:rPr>
              <w:t>Notes explicatives</w:t>
            </w:r>
          </w:p>
        </w:tc>
      </w:tr>
      <w:tr w:rsidR="00CE6374" w:rsidRPr="003058F5" w14:paraId="37F3DB46" w14:textId="77777777" w:rsidTr="00F15919">
        <w:trPr>
          <w:gridAfter w:val="2"/>
          <w:wAfter w:w="15" w:type="dxa"/>
          <w:trHeight w:val="300"/>
        </w:trPr>
        <w:tc>
          <w:tcPr>
            <w:tcW w:w="1839" w:type="dxa"/>
            <w:shd w:val="clear" w:color="auto" w:fill="auto"/>
            <w:vAlign w:val="center"/>
          </w:tcPr>
          <w:p w14:paraId="64358340" w14:textId="77777777" w:rsidR="00CE6374" w:rsidRPr="003058F5" w:rsidRDefault="00CE6374" w:rsidP="00CE6374">
            <w:pPr>
              <w:rPr>
                <w:rStyle w:val="Lienhypertexte"/>
                <w:b/>
                <w:sz w:val="16"/>
                <w:szCs w:val="16"/>
              </w:rPr>
            </w:pPr>
            <w:r>
              <w:rPr>
                <w:b/>
                <w:sz w:val="16"/>
              </w:rPr>
              <w:t>Objectif de l’indicateur</w:t>
            </w:r>
          </w:p>
        </w:tc>
        <w:tc>
          <w:tcPr>
            <w:tcW w:w="13037" w:type="dxa"/>
            <w:gridSpan w:val="16"/>
            <w:shd w:val="clear" w:color="auto" w:fill="auto"/>
            <w:vAlign w:val="center"/>
          </w:tcPr>
          <w:p w14:paraId="73F92456" w14:textId="5672D265" w:rsidR="00CE6374" w:rsidRPr="003058F5" w:rsidRDefault="00BD65D7" w:rsidP="00CE6374">
            <w:pPr>
              <w:rPr>
                <w:rStyle w:val="Lienhypertexte"/>
                <w:color w:val="000000" w:themeColor="text1"/>
                <w:sz w:val="16"/>
                <w:szCs w:val="16"/>
              </w:rPr>
            </w:pPr>
            <w:r>
              <w:rPr>
                <w:rStyle w:val="Lienhypertexte"/>
                <w:color w:val="000000" w:themeColor="text1"/>
                <w:sz w:val="16"/>
              </w:rPr>
              <w:t xml:space="preserve">Cet indicateur permet au signataire de préciser dans quelle mesure les critères ESG majeurs sont pris en compte dans le processus de construction d’un portefeuille et non pas uniquement dans le processus de valorisation ou les critères de sélection. Il est recommandé de prendre en compte les critères ESG majeurs dans tous les aspects du processus de construction de portefeuille et de la sélection d’actifs pour l’ensemble des stratégies d'investissement et des actifs sous gestion, plutôt que pour un portefeuille ou groupe de fonds donné. Les options indiquent différents aspects du processus de construction du portefeuille pour lesquels les signataires peuvent étayer leur conviction et leur tolérance au risque en fonction de critères ESG. </w:t>
            </w:r>
          </w:p>
        </w:tc>
      </w:tr>
      <w:tr w:rsidR="00CE6374" w:rsidRPr="003058F5" w14:paraId="6868BE7A" w14:textId="77777777" w:rsidTr="00F15919">
        <w:trPr>
          <w:gridAfter w:val="2"/>
          <w:wAfter w:w="15" w:type="dxa"/>
          <w:trHeight w:val="300"/>
        </w:trPr>
        <w:tc>
          <w:tcPr>
            <w:tcW w:w="1839" w:type="dxa"/>
            <w:shd w:val="clear" w:color="auto" w:fill="auto"/>
            <w:vAlign w:val="center"/>
          </w:tcPr>
          <w:p w14:paraId="212FD2CA" w14:textId="6A6C4541" w:rsidR="00CE6374" w:rsidRPr="003058F5" w:rsidRDefault="004B4572" w:rsidP="00CE6374">
            <w:pPr>
              <w:rPr>
                <w:rStyle w:val="Lienhypertexte"/>
                <w:b/>
                <w:sz w:val="16"/>
                <w:szCs w:val="16"/>
              </w:rPr>
            </w:pPr>
            <w:r>
              <w:rPr>
                <w:b/>
                <w:sz w:val="16"/>
              </w:rPr>
              <w:t>Recommandations supplémentaires</w:t>
            </w:r>
            <w:r w:rsidR="00CE6374">
              <w:rPr>
                <w:b/>
                <w:sz w:val="16"/>
              </w:rPr>
              <w:t xml:space="preserve"> en matière de </w:t>
            </w:r>
            <w:proofErr w:type="spellStart"/>
            <w:r w:rsidR="00CE6374">
              <w:rPr>
                <w:b/>
                <w:sz w:val="16"/>
              </w:rPr>
              <w:t>reporting</w:t>
            </w:r>
            <w:proofErr w:type="spellEnd"/>
          </w:p>
        </w:tc>
        <w:tc>
          <w:tcPr>
            <w:tcW w:w="13037" w:type="dxa"/>
            <w:gridSpan w:val="16"/>
            <w:shd w:val="clear" w:color="auto" w:fill="auto"/>
            <w:vAlign w:val="center"/>
          </w:tcPr>
          <w:p w14:paraId="42B6585D" w14:textId="6F6F4572" w:rsidR="00CE6374" w:rsidRPr="003058F5" w:rsidRDefault="00BD65D7" w:rsidP="00CE6374">
            <w:pPr>
              <w:rPr>
                <w:rStyle w:val="Lienhypertexte"/>
                <w:color w:val="000000" w:themeColor="text1"/>
                <w:sz w:val="16"/>
                <w:szCs w:val="16"/>
              </w:rPr>
            </w:pPr>
            <w:r>
              <w:rPr>
                <w:rStyle w:val="Lienhypertexte"/>
                <w:color w:val="000000" w:themeColor="text1"/>
                <w:sz w:val="16"/>
              </w:rPr>
              <w:t>Cet indicateur concerne le processus de construction de portefeuille, avec des options incluant la sélection des actifs individuels, des classes d'actifs, des pondérations sectorielles et des indices de référence, la mise en place de positions courtes et la période de détention.</w:t>
            </w:r>
          </w:p>
        </w:tc>
      </w:tr>
      <w:tr w:rsidR="00CE6374" w:rsidRPr="003058F5" w14:paraId="43D8DB36" w14:textId="77777777" w:rsidTr="00F15919">
        <w:trPr>
          <w:gridAfter w:val="2"/>
          <w:wAfter w:w="15" w:type="dxa"/>
          <w:trHeight w:val="300"/>
        </w:trPr>
        <w:tc>
          <w:tcPr>
            <w:tcW w:w="1839" w:type="dxa"/>
            <w:shd w:val="clear" w:color="auto" w:fill="auto"/>
            <w:vAlign w:val="center"/>
          </w:tcPr>
          <w:p w14:paraId="15602E3B" w14:textId="77777777" w:rsidR="00CE6374" w:rsidRPr="003058F5" w:rsidRDefault="00CE6374" w:rsidP="00CE6374">
            <w:pPr>
              <w:rPr>
                <w:b/>
                <w:bCs/>
                <w:sz w:val="16"/>
                <w:szCs w:val="16"/>
              </w:rPr>
            </w:pPr>
            <w:r>
              <w:rPr>
                <w:b/>
                <w:sz w:val="16"/>
              </w:rPr>
              <w:t>Autres ressources</w:t>
            </w:r>
          </w:p>
        </w:tc>
        <w:tc>
          <w:tcPr>
            <w:tcW w:w="13037" w:type="dxa"/>
            <w:gridSpan w:val="16"/>
            <w:shd w:val="clear" w:color="auto" w:fill="auto"/>
            <w:vAlign w:val="center"/>
          </w:tcPr>
          <w:p w14:paraId="25DA5418" w14:textId="56A9C9CB" w:rsidR="00CE6374" w:rsidRPr="003058F5" w:rsidRDefault="008F7EBA" w:rsidP="00CE6374">
            <w:pPr>
              <w:rPr>
                <w:rStyle w:val="Lienhypertexte"/>
                <w:color w:val="000000" w:themeColor="text1"/>
              </w:rPr>
            </w:pPr>
            <w:r>
              <w:rPr>
                <w:rStyle w:val="Lienhypertexte"/>
                <w:color w:val="000000" w:themeColor="text1"/>
                <w:sz w:val="16"/>
              </w:rPr>
              <w:t xml:space="preserve">Pour de plus amples informations, veuillez consulter le document des PRI intitulé </w:t>
            </w:r>
            <w:hyperlink r:id="rId59" w:history="1">
              <w:proofErr w:type="spellStart"/>
              <w:r>
                <w:rPr>
                  <w:rStyle w:val="Lienhypertexte"/>
                  <w:sz w:val="16"/>
                </w:rPr>
                <w:t>Technical</w:t>
              </w:r>
              <w:proofErr w:type="spellEnd"/>
              <w:r>
                <w:rPr>
                  <w:rStyle w:val="Lienhypertexte"/>
                  <w:sz w:val="16"/>
                </w:rPr>
                <w:t xml:space="preserve"> </w:t>
              </w:r>
              <w:proofErr w:type="spellStart"/>
              <w:r>
                <w:rPr>
                  <w:rStyle w:val="Lienhypertexte"/>
                  <w:sz w:val="16"/>
                </w:rPr>
                <w:t>guide:</w:t>
              </w:r>
            </w:hyperlink>
            <w:hyperlink r:id="rId60" w:history="1">
              <w:r>
                <w:rPr>
                  <w:rStyle w:val="Lienhypertexte"/>
                  <w:sz w:val="16"/>
                </w:rPr>
                <w:t>ESG</w:t>
              </w:r>
              <w:proofErr w:type="spellEnd"/>
              <w:r>
                <w:rPr>
                  <w:rStyle w:val="Lienhypertexte"/>
                  <w:sz w:val="16"/>
                </w:rPr>
                <w:t xml:space="preserve"> incorporation in </w:t>
              </w:r>
              <w:proofErr w:type="spellStart"/>
              <w:r>
                <w:rPr>
                  <w:rStyle w:val="Lienhypertexte"/>
                  <w:sz w:val="16"/>
                </w:rPr>
                <w:t>hedge</w:t>
              </w:r>
              <w:proofErr w:type="spellEnd"/>
              <w:r>
                <w:rPr>
                  <w:rStyle w:val="Lienhypertexte"/>
                  <w:sz w:val="16"/>
                </w:rPr>
                <w:t xml:space="preserve"> </w:t>
              </w:r>
              <w:proofErr w:type="spellStart"/>
              <w:r>
                <w:rPr>
                  <w:rStyle w:val="Lienhypertexte"/>
                  <w:sz w:val="16"/>
                </w:rPr>
                <w:t>funds</w:t>
              </w:r>
              <w:proofErr w:type="spellEnd"/>
              <w:r>
                <w:rPr>
                  <w:rStyle w:val="Lienhypertexte"/>
                  <w:sz w:val="16"/>
                </w:rPr>
                <w:t xml:space="preserve"> (Guide technique</w:t>
              </w:r>
              <w:r w:rsidR="00767929">
                <w:rPr>
                  <w:rStyle w:val="Lienhypertexte"/>
                  <w:sz w:val="16"/>
                </w:rPr>
                <w:t> :</w:t>
              </w:r>
              <w:r>
                <w:rPr>
                  <w:rStyle w:val="Lienhypertexte"/>
                  <w:sz w:val="16"/>
                </w:rPr>
                <w:t xml:space="preserve"> la prise en compte des critères ESG dans les fonds spéculatifs (</w:t>
              </w:r>
              <w:proofErr w:type="spellStart"/>
              <w:r>
                <w:rPr>
                  <w:rStyle w:val="Lienhypertexte"/>
                  <w:i/>
                  <w:iCs/>
                  <w:sz w:val="16"/>
                </w:rPr>
                <w:t>hedge</w:t>
              </w:r>
              <w:proofErr w:type="spellEnd"/>
              <w:r>
                <w:rPr>
                  <w:rStyle w:val="Lienhypertexte"/>
                  <w:i/>
                  <w:iCs/>
                  <w:sz w:val="16"/>
                </w:rPr>
                <w:t xml:space="preserve"> </w:t>
              </w:r>
              <w:proofErr w:type="spellStart"/>
              <w:r>
                <w:rPr>
                  <w:rStyle w:val="Lienhypertexte"/>
                  <w:i/>
                  <w:iCs/>
                  <w:sz w:val="16"/>
                </w:rPr>
                <w:t>funds</w:t>
              </w:r>
              <w:proofErr w:type="spellEnd"/>
              <w:r>
                <w:rPr>
                  <w:rStyle w:val="Lienhypertexte"/>
                  <w:sz w:val="16"/>
                </w:rPr>
                <w:t>))</w:t>
              </w:r>
            </w:hyperlink>
            <w:r>
              <w:rPr>
                <w:rStyle w:val="Lienhypertexte"/>
                <w:color w:val="auto"/>
                <w:sz w:val="16"/>
              </w:rPr>
              <w:t>,</w:t>
            </w:r>
            <w:r>
              <w:rPr>
                <w:rStyle w:val="Lienhypertexte"/>
                <w:color w:val="000000" w:themeColor="text1"/>
                <w:sz w:val="16"/>
              </w:rPr>
              <w:t xml:space="preserve"> qui fournit un cadre aux sociétés de gestion pour prendre en compte les critères ESG majeurs dans les stratégies relatives aux fonds spéculatifs.</w:t>
            </w:r>
          </w:p>
        </w:tc>
      </w:tr>
      <w:tr w:rsidR="00CE6374" w:rsidRPr="003058F5" w14:paraId="2CADD68B" w14:textId="77777777" w:rsidTr="00F15919">
        <w:trPr>
          <w:gridAfter w:val="2"/>
          <w:wAfter w:w="15" w:type="dxa"/>
          <w:trHeight w:val="300"/>
        </w:trPr>
        <w:tc>
          <w:tcPr>
            <w:tcW w:w="14876" w:type="dxa"/>
            <w:gridSpan w:val="17"/>
            <w:shd w:val="clear" w:color="auto" w:fill="0070C0"/>
            <w:vAlign w:val="center"/>
          </w:tcPr>
          <w:p w14:paraId="5DB610C2" w14:textId="77777777" w:rsidR="00CE6374" w:rsidRPr="003058F5" w:rsidRDefault="00CE6374" w:rsidP="00CE6374">
            <w:pPr>
              <w:rPr>
                <w:color w:val="FFFFFF" w:themeColor="background1"/>
                <w:sz w:val="16"/>
                <w:szCs w:val="16"/>
              </w:rPr>
            </w:pPr>
            <w:r>
              <w:rPr>
                <w:b/>
                <w:color w:val="FFFFFF" w:themeColor="background1"/>
                <w:sz w:val="18"/>
              </w:rPr>
              <w:t>Logique</w:t>
            </w:r>
          </w:p>
        </w:tc>
      </w:tr>
      <w:tr w:rsidR="0041111A" w:rsidRPr="003058F5" w14:paraId="75C9D826" w14:textId="77777777" w:rsidTr="00F15919">
        <w:trPr>
          <w:gridAfter w:val="2"/>
          <w:wAfter w:w="15" w:type="dxa"/>
          <w:trHeight w:val="300"/>
        </w:trPr>
        <w:tc>
          <w:tcPr>
            <w:tcW w:w="1839" w:type="dxa"/>
            <w:shd w:val="clear" w:color="auto" w:fill="auto"/>
            <w:vAlign w:val="center"/>
          </w:tcPr>
          <w:p w14:paraId="240C53D6" w14:textId="77777777" w:rsidR="0041111A" w:rsidRPr="003058F5" w:rsidRDefault="0041111A" w:rsidP="0041111A">
            <w:pPr>
              <w:rPr>
                <w:b/>
                <w:bCs/>
                <w:sz w:val="16"/>
                <w:szCs w:val="16"/>
              </w:rPr>
            </w:pPr>
            <w:r>
              <w:rPr>
                <w:b/>
                <w:sz w:val="16"/>
              </w:rPr>
              <w:t>Lien avec</w:t>
            </w:r>
          </w:p>
        </w:tc>
        <w:tc>
          <w:tcPr>
            <w:tcW w:w="13037" w:type="dxa"/>
            <w:gridSpan w:val="16"/>
            <w:shd w:val="clear" w:color="auto" w:fill="auto"/>
            <w:vAlign w:val="center"/>
          </w:tcPr>
          <w:p w14:paraId="07F8FB35" w14:textId="6ECAC23D" w:rsidR="0041111A" w:rsidRPr="003058F5" w:rsidRDefault="00BA61E4" w:rsidP="0041111A">
            <w:pPr>
              <w:rPr>
                <w:color w:val="000000" w:themeColor="text1"/>
                <w:sz w:val="16"/>
                <w:szCs w:val="16"/>
              </w:rPr>
            </w:pPr>
            <w:r>
              <w:rPr>
                <w:color w:val="000000" w:themeColor="text1"/>
                <w:sz w:val="16"/>
              </w:rPr>
              <w:t>[OO 21]</w:t>
            </w:r>
          </w:p>
        </w:tc>
      </w:tr>
      <w:tr w:rsidR="00CE6374" w:rsidRPr="003058F5" w14:paraId="5A42D216" w14:textId="77777777" w:rsidTr="00F15919">
        <w:trPr>
          <w:gridAfter w:val="2"/>
          <w:wAfter w:w="15" w:type="dxa"/>
          <w:trHeight w:val="300"/>
        </w:trPr>
        <w:tc>
          <w:tcPr>
            <w:tcW w:w="1839" w:type="dxa"/>
            <w:shd w:val="clear" w:color="auto" w:fill="auto"/>
            <w:vAlign w:val="center"/>
          </w:tcPr>
          <w:p w14:paraId="5B7616F9" w14:textId="77777777" w:rsidR="00CE6374" w:rsidRPr="003058F5" w:rsidRDefault="00CE6374" w:rsidP="00CE6374">
            <w:pPr>
              <w:rPr>
                <w:b/>
                <w:bCs/>
                <w:sz w:val="16"/>
                <w:szCs w:val="16"/>
              </w:rPr>
            </w:pPr>
            <w:r>
              <w:rPr>
                <w:b/>
                <w:sz w:val="16"/>
              </w:rPr>
              <w:t>Accès à</w:t>
            </w:r>
          </w:p>
        </w:tc>
        <w:tc>
          <w:tcPr>
            <w:tcW w:w="13037" w:type="dxa"/>
            <w:gridSpan w:val="16"/>
            <w:shd w:val="clear" w:color="auto" w:fill="auto"/>
            <w:vAlign w:val="center"/>
          </w:tcPr>
          <w:p w14:paraId="5C5C4152" w14:textId="75B19628" w:rsidR="00CE6374" w:rsidRPr="003058F5" w:rsidRDefault="00E85A14" w:rsidP="00CE6374">
            <w:pPr>
              <w:rPr>
                <w:color w:val="000000" w:themeColor="text1"/>
                <w:sz w:val="16"/>
                <w:szCs w:val="16"/>
              </w:rPr>
            </w:pPr>
            <w:r>
              <w:rPr>
                <w:color w:val="000000" w:themeColor="text1"/>
                <w:sz w:val="16"/>
              </w:rPr>
              <w:t>Sans objet</w:t>
            </w:r>
          </w:p>
        </w:tc>
      </w:tr>
      <w:tr w:rsidR="00CE6374" w:rsidRPr="003058F5" w14:paraId="37AA08CF" w14:textId="77777777" w:rsidTr="00F15919">
        <w:trPr>
          <w:gridAfter w:val="2"/>
          <w:wAfter w:w="15" w:type="dxa"/>
          <w:trHeight w:val="300"/>
        </w:trPr>
        <w:tc>
          <w:tcPr>
            <w:tcW w:w="14876" w:type="dxa"/>
            <w:gridSpan w:val="17"/>
            <w:shd w:val="clear" w:color="auto" w:fill="0070C0"/>
            <w:vAlign w:val="center"/>
          </w:tcPr>
          <w:p w14:paraId="50827407" w14:textId="77777777" w:rsidR="00CE6374" w:rsidRPr="003058F5" w:rsidRDefault="00CE6374" w:rsidP="00CE6374">
            <w:pPr>
              <w:rPr>
                <w:rFonts w:eastAsia="Times New Roman" w:cs="Arial"/>
                <w:b/>
                <w:bCs/>
                <w:color w:val="FFFFFF" w:themeColor="background1"/>
                <w:sz w:val="18"/>
                <w:szCs w:val="18"/>
              </w:rPr>
            </w:pPr>
            <w:r>
              <w:rPr>
                <w:b/>
                <w:color w:val="FFFFFF" w:themeColor="background1"/>
                <w:sz w:val="18"/>
              </w:rPr>
              <w:lastRenderedPageBreak/>
              <w:t>Évaluation</w:t>
            </w:r>
          </w:p>
        </w:tc>
      </w:tr>
      <w:tr w:rsidR="001A45BA" w:rsidRPr="003058F5" w14:paraId="494C09D1" w14:textId="77777777" w:rsidTr="000D6EB0">
        <w:trPr>
          <w:gridAfter w:val="2"/>
          <w:wAfter w:w="15" w:type="dxa"/>
          <w:trHeight w:val="354"/>
        </w:trPr>
        <w:tc>
          <w:tcPr>
            <w:tcW w:w="1839" w:type="dxa"/>
            <w:vMerge w:val="restart"/>
            <w:tcBorders>
              <w:top w:val="single" w:sz="6" w:space="0" w:color="A6A6A6" w:themeColor="background1" w:themeShade="A6"/>
              <w:left w:val="single" w:sz="6" w:space="0" w:color="A6A6A6" w:themeColor="background1" w:themeShade="A6"/>
              <w:right w:val="single" w:sz="6" w:space="0" w:color="A6A6A6" w:themeColor="background1" w:themeShade="A6"/>
            </w:tcBorders>
            <w:shd w:val="clear" w:color="auto" w:fill="auto"/>
            <w:vAlign w:val="center"/>
          </w:tcPr>
          <w:p w14:paraId="132FC4AE" w14:textId="77777777" w:rsidR="001A45BA" w:rsidRPr="003058F5" w:rsidRDefault="001A45BA" w:rsidP="008556BC">
            <w:pPr>
              <w:rPr>
                <w:b/>
                <w:sz w:val="16"/>
                <w:szCs w:val="16"/>
              </w:rPr>
            </w:pPr>
            <w:r>
              <w:rPr>
                <w:b/>
                <w:sz w:val="16"/>
              </w:rPr>
              <w:t>Critères d'évaluation</w:t>
            </w:r>
          </w:p>
        </w:tc>
        <w:tc>
          <w:tcPr>
            <w:tcW w:w="13037" w:type="dxa"/>
            <w:gridSpan w:val="16"/>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A98F717" w14:textId="7A69A69F" w:rsidR="001A45BA" w:rsidRPr="003058F5" w:rsidRDefault="001A45BA" w:rsidP="008556BC">
            <w:pPr>
              <w:rPr>
                <w:rStyle w:val="Lienhypertexte"/>
                <w:color w:val="000000" w:themeColor="text1"/>
                <w:sz w:val="16"/>
                <w:szCs w:val="16"/>
              </w:rPr>
            </w:pPr>
            <w:r>
              <w:rPr>
                <w:rStyle w:val="Lienhypertexte"/>
                <w:color w:val="000000" w:themeColor="text1"/>
                <w:sz w:val="16"/>
              </w:rPr>
              <w:t xml:space="preserve">Les 100 points de cet indicateur sont répartis entre les options désignées par une lettre (50 points), et celles relatives au périmètre couvert (50 points). La note finale sera fondée sur les trois meilleures combinaisons d'options désignées par des lettres et des chiffres. </w:t>
            </w:r>
          </w:p>
        </w:tc>
      </w:tr>
      <w:tr w:rsidR="007B649C" w:rsidRPr="003058F5" w14:paraId="5C3261E4" w14:textId="77777777" w:rsidTr="000D6EB0">
        <w:trPr>
          <w:gridAfter w:val="1"/>
          <w:wAfter w:w="8" w:type="dxa"/>
          <w:trHeight w:val="212"/>
        </w:trPr>
        <w:tc>
          <w:tcPr>
            <w:tcW w:w="1839" w:type="dxa"/>
            <w:vMerge/>
            <w:tcBorders>
              <w:left w:val="single" w:sz="6" w:space="0" w:color="A6A6A6" w:themeColor="background1" w:themeShade="A6"/>
              <w:right w:val="single" w:sz="6" w:space="0" w:color="A6A6A6" w:themeColor="background1" w:themeShade="A6"/>
            </w:tcBorders>
            <w:shd w:val="clear" w:color="auto" w:fill="auto"/>
            <w:vAlign w:val="center"/>
          </w:tcPr>
          <w:p w14:paraId="05217650" w14:textId="77777777" w:rsidR="007B649C" w:rsidRPr="003058F5" w:rsidRDefault="007B649C" w:rsidP="008556BC">
            <w:pPr>
              <w:rPr>
                <w:b/>
                <w:sz w:val="16"/>
                <w:szCs w:val="16"/>
              </w:rPr>
            </w:pPr>
          </w:p>
        </w:tc>
        <w:tc>
          <w:tcPr>
            <w:tcW w:w="4122" w:type="dxa"/>
            <w:gridSpan w:val="4"/>
            <w:tcBorders>
              <w:left w:val="single" w:sz="6" w:space="0" w:color="A6A6A6" w:themeColor="background1" w:themeShade="A6"/>
            </w:tcBorders>
            <w:shd w:val="clear" w:color="auto" w:fill="auto"/>
            <w:vAlign w:val="center"/>
          </w:tcPr>
          <w:p w14:paraId="6FC4974D" w14:textId="4AAF6243" w:rsidR="007B649C" w:rsidRPr="003058F5" w:rsidRDefault="007B649C" w:rsidP="008556BC">
            <w:pPr>
              <w:rPr>
                <w:rStyle w:val="Lienhypertexte"/>
                <w:color w:val="auto"/>
                <w:sz w:val="16"/>
                <w:szCs w:val="16"/>
              </w:rPr>
            </w:pPr>
            <w:r>
              <w:rPr>
                <w:rStyle w:val="Lienhypertexte"/>
                <w:color w:val="auto"/>
                <w:sz w:val="16"/>
              </w:rPr>
              <w:t>50 points pour les options désignées par une lettre</w:t>
            </w:r>
            <w:r w:rsidR="00767929">
              <w:rPr>
                <w:rStyle w:val="Lienhypertexte"/>
                <w:color w:val="auto"/>
                <w:sz w:val="16"/>
              </w:rPr>
              <w:t> :</w:t>
            </w:r>
            <w:r>
              <w:rPr>
                <w:rStyle w:val="Lienhypertexte"/>
                <w:color w:val="auto"/>
                <w:sz w:val="16"/>
              </w:rPr>
              <w:t xml:space="preserve"> </w:t>
            </w:r>
          </w:p>
          <w:p w14:paraId="63ED66AC" w14:textId="77777777" w:rsidR="007B649C" w:rsidRPr="003058F5" w:rsidRDefault="007B649C" w:rsidP="008556BC">
            <w:pPr>
              <w:rPr>
                <w:rStyle w:val="Lienhypertexte"/>
                <w:color w:val="auto"/>
                <w:sz w:val="16"/>
                <w:szCs w:val="16"/>
              </w:rPr>
            </w:pPr>
          </w:p>
          <w:p w14:paraId="752B328D" w14:textId="54B1CD46" w:rsidR="007B649C" w:rsidRPr="003058F5" w:rsidRDefault="007B649C" w:rsidP="00C4369F">
            <w:pPr>
              <w:rPr>
                <w:sz w:val="16"/>
                <w:szCs w:val="16"/>
              </w:rPr>
            </w:pPr>
            <w:r>
              <w:rPr>
                <w:sz w:val="16"/>
              </w:rPr>
              <w:t xml:space="preserve">50 points pour au moins 3 réponses cochées parmi les options A à D. </w:t>
            </w:r>
          </w:p>
          <w:p w14:paraId="153F4D27" w14:textId="441CC64E" w:rsidR="007B649C" w:rsidRPr="003058F5" w:rsidRDefault="007B649C" w:rsidP="00C4369F">
            <w:pPr>
              <w:rPr>
                <w:sz w:val="16"/>
                <w:szCs w:val="16"/>
              </w:rPr>
            </w:pPr>
            <w:r>
              <w:rPr>
                <w:sz w:val="16"/>
              </w:rPr>
              <w:t>33 points pour 2 réponses cochées parmi les options A à D.</w:t>
            </w:r>
          </w:p>
          <w:p w14:paraId="387F8372" w14:textId="1EF069F1" w:rsidR="007B649C" w:rsidRPr="003058F5" w:rsidRDefault="007B649C" w:rsidP="00C4369F">
            <w:pPr>
              <w:rPr>
                <w:sz w:val="16"/>
                <w:szCs w:val="16"/>
              </w:rPr>
            </w:pPr>
            <w:r>
              <w:rPr>
                <w:sz w:val="16"/>
              </w:rPr>
              <w:t>16 points pour 1 réponse cochée parmi les options A à D.</w:t>
            </w:r>
          </w:p>
          <w:p w14:paraId="16A3BD2A" w14:textId="5BAC89FA" w:rsidR="007B649C" w:rsidRPr="003058F5" w:rsidRDefault="007B649C" w:rsidP="008556BC">
            <w:pPr>
              <w:rPr>
                <w:rStyle w:val="Lienhypertexte"/>
                <w:color w:val="auto"/>
                <w:sz w:val="16"/>
                <w:szCs w:val="16"/>
              </w:rPr>
            </w:pPr>
            <w:r>
              <w:rPr>
                <w:sz w:val="16"/>
              </w:rPr>
              <w:t>0 point pour les options E et F.</w:t>
            </w:r>
          </w:p>
        </w:tc>
        <w:tc>
          <w:tcPr>
            <w:tcW w:w="690" w:type="dxa"/>
            <w:gridSpan w:val="2"/>
            <w:shd w:val="clear" w:color="auto" w:fill="auto"/>
            <w:vAlign w:val="center"/>
          </w:tcPr>
          <w:p w14:paraId="229CBFA3" w14:textId="77777777" w:rsidR="007B649C" w:rsidRPr="003058F5" w:rsidRDefault="007B649C" w:rsidP="008556BC">
            <w:pPr>
              <w:rPr>
                <w:rStyle w:val="Lienhypertexte"/>
                <w:b/>
                <w:bCs/>
                <w:color w:val="auto"/>
                <w:sz w:val="16"/>
                <w:szCs w:val="16"/>
              </w:rPr>
            </w:pPr>
            <w:r>
              <w:rPr>
                <w:rStyle w:val="Lienhypertexte"/>
                <w:b/>
                <w:color w:val="auto"/>
                <w:sz w:val="16"/>
              </w:rPr>
              <w:t>ET</w:t>
            </w:r>
          </w:p>
        </w:tc>
        <w:tc>
          <w:tcPr>
            <w:tcW w:w="3972" w:type="dxa"/>
            <w:gridSpan w:val="4"/>
            <w:shd w:val="clear" w:color="auto" w:fill="auto"/>
            <w:vAlign w:val="center"/>
          </w:tcPr>
          <w:p w14:paraId="72709FB6" w14:textId="4559854C" w:rsidR="007B649C" w:rsidRPr="003058F5" w:rsidRDefault="007B649C" w:rsidP="008556BC">
            <w:pPr>
              <w:rPr>
                <w:rStyle w:val="Lienhypertexte"/>
                <w:color w:val="auto"/>
                <w:sz w:val="16"/>
                <w:szCs w:val="16"/>
              </w:rPr>
            </w:pPr>
            <w:r>
              <w:rPr>
                <w:rStyle w:val="Lienhypertexte"/>
                <w:color w:val="auto"/>
                <w:sz w:val="16"/>
              </w:rPr>
              <w:t>50 points pour le périmètre couvert</w:t>
            </w:r>
            <w:r w:rsidR="00767929">
              <w:rPr>
                <w:rStyle w:val="Lienhypertexte"/>
                <w:color w:val="auto"/>
                <w:sz w:val="16"/>
              </w:rPr>
              <w:t> :</w:t>
            </w:r>
          </w:p>
          <w:p w14:paraId="65ABFE9A" w14:textId="165B901A" w:rsidR="007B649C" w:rsidRPr="003058F5" w:rsidRDefault="007B649C" w:rsidP="008556BC">
            <w:pPr>
              <w:spacing w:before="100" w:beforeAutospacing="1" w:after="100" w:afterAutospacing="1" w:line="240" w:lineRule="auto"/>
              <w:textAlignment w:val="baseline"/>
              <w:rPr>
                <w:rStyle w:val="Lienhypertexte"/>
                <w:rFonts w:ascii="Times New Roman" w:eastAsia="Times New Roman" w:hAnsi="Times New Roman"/>
                <w:color w:val="auto"/>
                <w:sz w:val="24"/>
                <w:szCs w:val="24"/>
              </w:rPr>
            </w:pPr>
            <w:r>
              <w:rPr>
                <w:sz w:val="16"/>
              </w:rPr>
              <w:t>Pour les réponses A à D, chaque option est notée comme suit</w:t>
            </w:r>
            <w:r w:rsidR="00767929">
              <w:rPr>
                <w:sz w:val="16"/>
              </w:rPr>
              <w:t> :</w:t>
            </w:r>
            <w:r>
              <w:rPr>
                <w:sz w:val="16"/>
              </w:rPr>
              <w:t> </w:t>
            </w:r>
          </w:p>
          <w:p w14:paraId="125352F5" w14:textId="07771471" w:rsidR="007B649C" w:rsidRPr="003058F5" w:rsidRDefault="007B649C" w:rsidP="008556BC">
            <w:pPr>
              <w:rPr>
                <w:rStyle w:val="Lienhypertexte"/>
                <w:color w:val="auto"/>
                <w:sz w:val="16"/>
                <w:szCs w:val="16"/>
              </w:rPr>
            </w:pPr>
            <w:r>
              <w:rPr>
                <w:rStyle w:val="Lienhypertexte"/>
                <w:color w:val="auto"/>
                <w:sz w:val="16"/>
              </w:rPr>
              <w:t>50/3 points pour toutes les options (1) cochées.</w:t>
            </w:r>
          </w:p>
          <w:p w14:paraId="21A241E5" w14:textId="422A142D" w:rsidR="007B649C" w:rsidRPr="003058F5" w:rsidRDefault="007B649C" w:rsidP="008556BC">
            <w:pPr>
              <w:rPr>
                <w:rStyle w:val="Lienhypertexte"/>
                <w:color w:val="auto"/>
                <w:sz w:val="16"/>
                <w:szCs w:val="16"/>
              </w:rPr>
            </w:pPr>
            <w:r>
              <w:rPr>
                <w:rStyle w:val="Lienhypertexte"/>
                <w:color w:val="auto"/>
                <w:sz w:val="16"/>
              </w:rPr>
              <w:t>25/3 points pour la majorité d’options (2) cochées.</w:t>
            </w:r>
          </w:p>
          <w:p w14:paraId="68C6AD34" w14:textId="6354EA45" w:rsidR="007B649C" w:rsidRPr="003058F5" w:rsidRDefault="007B649C" w:rsidP="008556BC">
            <w:pPr>
              <w:rPr>
                <w:rStyle w:val="Lienhypertexte"/>
                <w:color w:val="auto"/>
                <w:sz w:val="16"/>
                <w:szCs w:val="16"/>
              </w:rPr>
            </w:pPr>
            <w:r>
              <w:rPr>
                <w:rStyle w:val="Lienhypertexte"/>
                <w:color w:val="auto"/>
                <w:sz w:val="16"/>
              </w:rPr>
              <w:t>12/3 points pour une minorité d’options (3) cochées.</w:t>
            </w:r>
          </w:p>
        </w:tc>
        <w:tc>
          <w:tcPr>
            <w:tcW w:w="4260" w:type="dxa"/>
            <w:gridSpan w:val="7"/>
            <w:shd w:val="clear" w:color="auto" w:fill="auto"/>
            <w:vAlign w:val="center"/>
          </w:tcPr>
          <w:p w14:paraId="3D85C0C8" w14:textId="51B3E09A" w:rsidR="007B649C" w:rsidRPr="003058F5" w:rsidRDefault="007B649C" w:rsidP="007B649C">
            <w:pPr>
              <w:spacing w:line="240" w:lineRule="auto"/>
              <w:rPr>
                <w:rFonts w:cs="Arial"/>
                <w:color w:val="000000"/>
                <w:sz w:val="16"/>
                <w:szCs w:val="16"/>
              </w:rPr>
            </w:pPr>
            <w:r>
              <w:rPr>
                <w:color w:val="000000"/>
                <w:sz w:val="16"/>
              </w:rPr>
              <w:t>Autres informations</w:t>
            </w:r>
            <w:r w:rsidR="00767929">
              <w:rPr>
                <w:color w:val="000000"/>
                <w:sz w:val="16"/>
              </w:rPr>
              <w:t> :</w:t>
            </w:r>
          </w:p>
          <w:p w14:paraId="4F419604" w14:textId="77777777" w:rsidR="007B649C" w:rsidRPr="003058F5" w:rsidRDefault="007B649C" w:rsidP="007B649C">
            <w:pPr>
              <w:spacing w:line="240" w:lineRule="auto"/>
              <w:rPr>
                <w:rFonts w:cs="Arial"/>
                <w:color w:val="000000"/>
                <w:sz w:val="16"/>
                <w:szCs w:val="16"/>
              </w:rPr>
            </w:pPr>
          </w:p>
          <w:p w14:paraId="394008D1" w14:textId="6298C04E" w:rsidR="007B649C" w:rsidRPr="003058F5" w:rsidRDefault="00386F8F" w:rsidP="008556BC">
            <w:pPr>
              <w:rPr>
                <w:rStyle w:val="Lienhypertexte"/>
                <w:color w:val="000000" w:themeColor="text1"/>
                <w:sz w:val="16"/>
                <w:szCs w:val="16"/>
              </w:rPr>
            </w:pPr>
            <w:r>
              <w:rPr>
                <w:color w:val="000000"/>
                <w:sz w:val="16"/>
              </w:rPr>
              <w:t xml:space="preserve">Si vous sélectionnez </w:t>
            </w:r>
            <w:r w:rsidR="00FC3BD3">
              <w:rPr>
                <w:color w:val="000000"/>
                <w:sz w:val="16"/>
              </w:rPr>
              <w:t>« </w:t>
            </w:r>
            <w:r>
              <w:rPr>
                <w:color w:val="000000"/>
                <w:sz w:val="16"/>
              </w:rPr>
              <w:t>F</w:t>
            </w:r>
            <w:r w:rsidR="00FC3BD3">
              <w:rPr>
                <w:color w:val="000000"/>
                <w:sz w:val="16"/>
              </w:rPr>
              <w:t> »</w:t>
            </w:r>
            <w:r>
              <w:rPr>
                <w:color w:val="000000"/>
                <w:sz w:val="16"/>
              </w:rPr>
              <w:t>, vous obtiendrez une note de 0/100 points pour cet indicateur.</w:t>
            </w:r>
          </w:p>
          <w:p w14:paraId="72DE469B" w14:textId="77777777" w:rsidR="007B649C" w:rsidRPr="003058F5" w:rsidRDefault="007B649C" w:rsidP="008556BC">
            <w:pPr>
              <w:rPr>
                <w:rStyle w:val="Lienhypertexte"/>
                <w:color w:val="000000" w:themeColor="text1"/>
                <w:sz w:val="16"/>
                <w:szCs w:val="16"/>
              </w:rPr>
            </w:pPr>
          </w:p>
          <w:p w14:paraId="50353B2A" w14:textId="2AEA22D6" w:rsidR="007B649C" w:rsidRPr="003058F5" w:rsidRDefault="007B649C" w:rsidP="008556BC">
            <w:pPr>
              <w:rPr>
                <w:rStyle w:val="Lienhypertexte"/>
                <w:color w:val="000000" w:themeColor="text1"/>
                <w:sz w:val="16"/>
                <w:szCs w:val="16"/>
              </w:rPr>
            </w:pPr>
            <w:r>
              <w:rPr>
                <w:color w:val="000000" w:themeColor="text1"/>
                <w:sz w:val="16"/>
              </w:rPr>
              <w:t>Le nombre de types de stratégies applicables n'affectera pas les points disponibles pour cet indicateur, car chaque stratégie recevra une note distincte.</w:t>
            </w:r>
          </w:p>
        </w:tc>
      </w:tr>
      <w:tr w:rsidR="00D314F8" w:rsidRPr="003058F5" w14:paraId="1E0D3B98" w14:textId="77777777" w:rsidTr="00F15919">
        <w:trPr>
          <w:gridAfter w:val="2"/>
          <w:wAfter w:w="15" w:type="dxa"/>
          <w:trHeight w:val="300"/>
        </w:trPr>
        <w:tc>
          <w:tcPr>
            <w:tcW w:w="1839" w:type="dxa"/>
            <w:shd w:val="clear" w:color="auto" w:fill="auto"/>
            <w:vAlign w:val="center"/>
          </w:tcPr>
          <w:p w14:paraId="16B773E8" w14:textId="0AB4C928" w:rsidR="00D314F8" w:rsidRPr="003058F5" w:rsidDel="002635ED" w:rsidRDefault="00386F8F" w:rsidP="008556BC">
            <w:pPr>
              <w:rPr>
                <w:b/>
                <w:bCs/>
                <w:sz w:val="16"/>
                <w:szCs w:val="16"/>
              </w:rPr>
            </w:pPr>
            <w:r>
              <w:rPr>
                <w:b/>
                <w:sz w:val="16"/>
              </w:rPr>
              <w:t xml:space="preserve">Notation de la réponse </w:t>
            </w:r>
            <w:r w:rsidR="00FC3BD3">
              <w:rPr>
                <w:b/>
                <w:sz w:val="16"/>
              </w:rPr>
              <w:t>« </w:t>
            </w:r>
            <w:r>
              <w:rPr>
                <w:b/>
                <w:sz w:val="16"/>
              </w:rPr>
              <w:t>Autres</w:t>
            </w:r>
            <w:r w:rsidR="00FC3BD3">
              <w:rPr>
                <w:b/>
                <w:sz w:val="16"/>
              </w:rPr>
              <w:t> »</w:t>
            </w:r>
          </w:p>
        </w:tc>
        <w:tc>
          <w:tcPr>
            <w:tcW w:w="13037" w:type="dxa"/>
            <w:gridSpan w:val="16"/>
            <w:shd w:val="clear" w:color="auto" w:fill="auto"/>
            <w:vAlign w:val="center"/>
          </w:tcPr>
          <w:p w14:paraId="16E659BC" w14:textId="0ED9D68E" w:rsidR="00D314F8" w:rsidRPr="003058F5" w:rsidRDefault="00D314F8" w:rsidP="008556BC">
            <w:pPr>
              <w:rPr>
                <w:rStyle w:val="Lienhypertexte"/>
                <w:color w:val="auto"/>
              </w:rPr>
            </w:pPr>
            <w:r>
              <w:rPr>
                <w:rStyle w:val="Lienhypertexte"/>
                <w:color w:val="auto"/>
                <w:sz w:val="16"/>
              </w:rPr>
              <w:t xml:space="preserve">La réponse </w:t>
            </w:r>
            <w:r w:rsidR="00FC3BD3">
              <w:rPr>
                <w:rStyle w:val="Lienhypertexte"/>
                <w:color w:val="auto"/>
                <w:sz w:val="16"/>
              </w:rPr>
              <w:t>« </w:t>
            </w:r>
            <w:r>
              <w:rPr>
                <w:rStyle w:val="Lienhypertexte"/>
                <w:color w:val="auto"/>
                <w:sz w:val="16"/>
              </w:rPr>
              <w:t>Autres</w:t>
            </w:r>
            <w:r w:rsidR="00FC3BD3">
              <w:rPr>
                <w:rStyle w:val="Lienhypertexte"/>
                <w:color w:val="auto"/>
                <w:sz w:val="16"/>
              </w:rPr>
              <w:t> »</w:t>
            </w:r>
            <w:r>
              <w:rPr>
                <w:rStyle w:val="Lienhypertexte"/>
                <w:color w:val="auto"/>
                <w:sz w:val="16"/>
              </w:rPr>
              <w:t xml:space="preserve"> (E) </w:t>
            </w:r>
            <w:r>
              <w:rPr>
                <w:rStyle w:val="normaltextrun"/>
                <w:sz w:val="16"/>
              </w:rPr>
              <w:t>ne sera pas prise en compte au regard des critères de notation, étant donné que les options prédéfinies ont été identifiées comme couvrant l’ensemble des bonnes pratiques.</w:t>
            </w:r>
          </w:p>
        </w:tc>
      </w:tr>
      <w:tr w:rsidR="005A43ED" w:rsidRPr="003058F5" w14:paraId="206C8D8D" w14:textId="77777777" w:rsidTr="00F15919">
        <w:trPr>
          <w:gridAfter w:val="2"/>
          <w:wAfter w:w="15" w:type="dxa"/>
          <w:trHeight w:val="300"/>
        </w:trPr>
        <w:tc>
          <w:tcPr>
            <w:tcW w:w="1839" w:type="dxa"/>
            <w:shd w:val="clear" w:color="auto" w:fill="auto"/>
            <w:vAlign w:val="center"/>
          </w:tcPr>
          <w:p w14:paraId="5D344D18" w14:textId="04D1A24A" w:rsidR="005A43ED" w:rsidRPr="003058F5" w:rsidRDefault="005A43ED" w:rsidP="005A43ED">
            <w:pPr>
              <w:rPr>
                <w:b/>
                <w:sz w:val="16"/>
                <w:szCs w:val="16"/>
              </w:rPr>
            </w:pPr>
            <w:r>
              <w:rPr>
                <w:b/>
                <w:sz w:val="16"/>
              </w:rPr>
              <w:t>Multiplicateur</w:t>
            </w:r>
          </w:p>
        </w:tc>
        <w:tc>
          <w:tcPr>
            <w:tcW w:w="13037" w:type="dxa"/>
            <w:gridSpan w:val="16"/>
            <w:shd w:val="clear" w:color="auto" w:fill="auto"/>
            <w:vAlign w:val="center"/>
          </w:tcPr>
          <w:p w14:paraId="3A7E7573" w14:textId="28582FDB" w:rsidR="005A43ED" w:rsidRPr="003058F5" w:rsidRDefault="0060497C" w:rsidP="005A43ED">
            <w:pPr>
              <w:rPr>
                <w:rStyle w:val="Lienhypertexte"/>
                <w:color w:val="auto"/>
                <w:sz w:val="16"/>
                <w:szCs w:val="16"/>
              </w:rPr>
            </w:pPr>
            <w:r>
              <w:rPr>
                <w:rStyle w:val="Lienhypertexte"/>
                <w:color w:val="000000" w:themeColor="text1"/>
                <w:sz w:val="16"/>
              </w:rPr>
              <w:t xml:space="preserve">Le multiplicateur sera confirmé avant le cycle de </w:t>
            </w:r>
            <w:proofErr w:type="spellStart"/>
            <w:r>
              <w:rPr>
                <w:rStyle w:val="Lienhypertexte"/>
                <w:color w:val="000000" w:themeColor="text1"/>
                <w:sz w:val="16"/>
              </w:rPr>
              <w:t>reporting</w:t>
            </w:r>
            <w:proofErr w:type="spellEnd"/>
            <w:r>
              <w:rPr>
                <w:rStyle w:val="Lienhypertexte"/>
                <w:color w:val="000000" w:themeColor="text1"/>
                <w:sz w:val="16"/>
              </w:rPr>
              <w:t xml:space="preserve"> 2023 qui débutera à la mi-mai. </w:t>
            </w:r>
          </w:p>
        </w:tc>
      </w:tr>
    </w:tbl>
    <w:p w14:paraId="5FC1F31C" w14:textId="7B2D85F5" w:rsidR="007D57AF" w:rsidRPr="003058F5" w:rsidRDefault="007D57AF">
      <w:pPr>
        <w:spacing w:after="160" w:line="259" w:lineRule="auto"/>
        <w:rPr>
          <w:sz w:val="16"/>
          <w:szCs w:val="16"/>
        </w:rPr>
      </w:pPr>
    </w:p>
    <w:p w14:paraId="6B3068B1" w14:textId="77777777" w:rsidR="006E7CBA" w:rsidRPr="003058F5" w:rsidRDefault="006E7CBA">
      <w:pPr>
        <w:spacing w:after="160" w:line="259" w:lineRule="auto"/>
        <w:rPr>
          <w:sz w:val="16"/>
          <w:szCs w:val="16"/>
        </w:rPr>
      </w:pPr>
    </w:p>
    <w:p w14:paraId="5091A5FE" w14:textId="77777777" w:rsidR="006E7CBA" w:rsidRPr="003058F5" w:rsidRDefault="006E7CBA">
      <w:pPr>
        <w:spacing w:after="160" w:line="259" w:lineRule="auto"/>
        <w:rPr>
          <w:sz w:val="16"/>
          <w:szCs w:val="16"/>
        </w:rPr>
      </w:pPr>
      <w:r>
        <w:br w:type="page"/>
      </w:r>
    </w:p>
    <w:p w14:paraId="3763ED97" w14:textId="65B42D73" w:rsidR="007D57AF" w:rsidRPr="003058F5" w:rsidRDefault="007D57AF">
      <w:pPr>
        <w:spacing w:after="160" w:line="259" w:lineRule="auto"/>
        <w:rPr>
          <w:sz w:val="16"/>
          <w:szCs w:val="16"/>
        </w:rPr>
      </w:pPr>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1"/>
        <w:gridCol w:w="1559"/>
        <w:gridCol w:w="2835"/>
        <w:gridCol w:w="4678"/>
        <w:gridCol w:w="1985"/>
        <w:gridCol w:w="1986"/>
      </w:tblGrid>
      <w:tr w:rsidR="006E7CBA" w:rsidRPr="003058F5" w14:paraId="56187AC4" w14:textId="77777777" w:rsidTr="00393227">
        <w:trPr>
          <w:trHeight w:val="380"/>
        </w:trPr>
        <w:tc>
          <w:tcPr>
            <w:tcW w:w="1841" w:type="dxa"/>
            <w:vMerge w:val="restart"/>
            <w:shd w:val="clear" w:color="auto" w:fill="F2F2F2" w:themeFill="background1" w:themeFillShade="F2"/>
            <w:vAlign w:val="center"/>
            <w:hideMark/>
          </w:tcPr>
          <w:p w14:paraId="397B3895" w14:textId="77777777" w:rsidR="006E7CBA" w:rsidRPr="003058F5" w:rsidRDefault="006E7CBA" w:rsidP="00393227">
            <w:pPr>
              <w:spacing w:line="240" w:lineRule="auto"/>
              <w:jc w:val="center"/>
              <w:textAlignment w:val="baseline"/>
              <w:rPr>
                <w:rFonts w:eastAsia="Times New Roman" w:cs="Arial"/>
                <w:b/>
                <w:sz w:val="14"/>
                <w:szCs w:val="14"/>
              </w:rPr>
            </w:pPr>
            <w:r>
              <w:rPr>
                <w:b/>
                <w:sz w:val="14"/>
              </w:rPr>
              <w:t>Identifiant de l’indicateur</w:t>
            </w:r>
          </w:p>
          <w:p w14:paraId="47367269" w14:textId="77777777" w:rsidR="006E7CBA" w:rsidRPr="003058F5" w:rsidRDefault="006E7CBA" w:rsidP="00393227">
            <w:pPr>
              <w:spacing w:line="240" w:lineRule="auto"/>
              <w:jc w:val="center"/>
              <w:textAlignment w:val="baseline"/>
              <w:rPr>
                <w:rFonts w:eastAsia="Times New Roman" w:cs="Arial"/>
                <w:b/>
                <w:sz w:val="10"/>
                <w:szCs w:val="10"/>
                <w:lang w:eastAsia="en-GB"/>
              </w:rPr>
            </w:pPr>
          </w:p>
          <w:p w14:paraId="0ED00E86" w14:textId="77777777" w:rsidR="006E7CBA" w:rsidRPr="003058F5" w:rsidRDefault="006E7CBA" w:rsidP="00393227">
            <w:pPr>
              <w:pStyle w:val="Indicatorsubsection"/>
            </w:pPr>
            <w:bookmarkStart w:id="20" w:name="_Toc128064112"/>
            <w:r>
              <w:t>HF 7</w:t>
            </w:r>
            <w:bookmarkEnd w:id="20"/>
          </w:p>
        </w:tc>
        <w:tc>
          <w:tcPr>
            <w:tcW w:w="1559" w:type="dxa"/>
            <w:shd w:val="clear" w:color="auto" w:fill="F2F2F2" w:themeFill="background1" w:themeFillShade="F2"/>
            <w:vAlign w:val="center"/>
            <w:hideMark/>
          </w:tcPr>
          <w:p w14:paraId="5EC9DF21" w14:textId="54C0AB66" w:rsidR="006E7CBA" w:rsidRPr="003058F5" w:rsidRDefault="00F61763" w:rsidP="00393227">
            <w:pPr>
              <w:spacing w:line="240" w:lineRule="auto"/>
              <w:textAlignment w:val="baseline"/>
              <w:rPr>
                <w:rFonts w:eastAsia="Times New Roman" w:cs="Arial"/>
                <w:sz w:val="14"/>
                <w:szCs w:val="14"/>
              </w:rPr>
            </w:pPr>
            <w:r>
              <w:rPr>
                <w:b/>
                <w:sz w:val="14"/>
              </w:rPr>
              <w:t>Lien avec</w:t>
            </w:r>
            <w:r w:rsidR="000666BC">
              <w:rPr>
                <w:b/>
                <w:sz w:val="14"/>
              </w:rPr>
              <w:t> </w:t>
            </w:r>
            <w:r>
              <w:rPr>
                <w:b/>
                <w:sz w:val="14"/>
              </w:rPr>
              <w:t xml:space="preserve">: </w:t>
            </w:r>
          </w:p>
        </w:tc>
        <w:tc>
          <w:tcPr>
            <w:tcW w:w="2835" w:type="dxa"/>
            <w:shd w:val="clear" w:color="auto" w:fill="F2F2F2" w:themeFill="background1" w:themeFillShade="F2"/>
            <w:vAlign w:val="center"/>
          </w:tcPr>
          <w:p w14:paraId="0181D487" w14:textId="5A30A5F8" w:rsidR="006E7CBA" w:rsidRPr="003058F5" w:rsidRDefault="006E7CBA" w:rsidP="00393227">
            <w:pPr>
              <w:spacing w:line="240" w:lineRule="auto"/>
              <w:textAlignment w:val="baseline"/>
              <w:rPr>
                <w:rFonts w:eastAsia="Times New Roman" w:cs="Arial"/>
                <w:sz w:val="14"/>
                <w:szCs w:val="14"/>
              </w:rPr>
            </w:pPr>
            <w:r>
              <w:rPr>
                <w:b/>
                <w:sz w:val="22"/>
              </w:rPr>
              <w:t>OO 21</w:t>
            </w:r>
          </w:p>
        </w:tc>
        <w:tc>
          <w:tcPr>
            <w:tcW w:w="4678" w:type="dxa"/>
            <w:vMerge w:val="restart"/>
            <w:shd w:val="clear" w:color="auto" w:fill="F2F2F2" w:themeFill="background1" w:themeFillShade="F2"/>
            <w:vAlign w:val="center"/>
          </w:tcPr>
          <w:p w14:paraId="6CC2E2DB" w14:textId="77777777" w:rsidR="006E7CBA" w:rsidRPr="003058F5" w:rsidRDefault="006E7CBA" w:rsidP="00393227">
            <w:pPr>
              <w:spacing w:line="240" w:lineRule="auto"/>
              <w:jc w:val="center"/>
              <w:textAlignment w:val="baseline"/>
              <w:rPr>
                <w:rFonts w:eastAsia="Times New Roman" w:cs="Arial"/>
                <w:sz w:val="14"/>
                <w:szCs w:val="14"/>
              </w:rPr>
            </w:pPr>
            <w:r>
              <w:rPr>
                <w:b/>
                <w:sz w:val="14"/>
              </w:rPr>
              <w:t>Sous-section</w:t>
            </w:r>
            <w:r>
              <w:rPr>
                <w:sz w:val="14"/>
              </w:rPr>
              <w:t> </w:t>
            </w:r>
          </w:p>
          <w:p w14:paraId="0B85E506" w14:textId="77777777" w:rsidR="006E7CBA" w:rsidRPr="003058F5" w:rsidRDefault="006E7CBA" w:rsidP="00393227">
            <w:pPr>
              <w:spacing w:line="240" w:lineRule="auto"/>
              <w:jc w:val="center"/>
              <w:textAlignment w:val="baseline"/>
              <w:rPr>
                <w:rFonts w:eastAsia="Times New Roman" w:cs="Arial"/>
                <w:sz w:val="14"/>
                <w:szCs w:val="14"/>
                <w:lang w:eastAsia="en-GB"/>
              </w:rPr>
            </w:pPr>
          </w:p>
          <w:p w14:paraId="2AAFC0C4" w14:textId="77777777" w:rsidR="006E7CBA" w:rsidRPr="003058F5" w:rsidRDefault="006E7CBA" w:rsidP="00393227">
            <w:pPr>
              <w:jc w:val="center"/>
              <w:rPr>
                <w:sz w:val="18"/>
                <w:szCs w:val="18"/>
              </w:rPr>
            </w:pPr>
            <w:r>
              <w:rPr>
                <w:b/>
                <w:sz w:val="22"/>
              </w:rPr>
              <w:t>Prise en compte des critères ESG dans la construction de portefeuille</w:t>
            </w:r>
          </w:p>
        </w:tc>
        <w:tc>
          <w:tcPr>
            <w:tcW w:w="1985" w:type="dxa"/>
            <w:vMerge w:val="restart"/>
            <w:shd w:val="clear" w:color="auto" w:fill="F2F2F2" w:themeFill="background1" w:themeFillShade="F2"/>
            <w:vAlign w:val="center"/>
            <w:hideMark/>
          </w:tcPr>
          <w:p w14:paraId="3382F1C6" w14:textId="77777777" w:rsidR="006E7CBA" w:rsidRPr="003058F5" w:rsidRDefault="006E7CBA" w:rsidP="00393227">
            <w:pPr>
              <w:spacing w:line="240" w:lineRule="auto"/>
              <w:jc w:val="center"/>
              <w:textAlignment w:val="baseline"/>
              <w:rPr>
                <w:rFonts w:eastAsia="Times New Roman" w:cs="Arial"/>
                <w:b/>
                <w:bCs/>
                <w:sz w:val="14"/>
                <w:szCs w:val="14"/>
              </w:rPr>
            </w:pPr>
            <w:r>
              <w:rPr>
                <w:b/>
                <w:sz w:val="14"/>
              </w:rPr>
              <w:t>Principe des PRI</w:t>
            </w:r>
          </w:p>
          <w:p w14:paraId="41821936" w14:textId="77777777" w:rsidR="006E7CBA" w:rsidRPr="003058F5" w:rsidRDefault="006E7CBA" w:rsidP="00393227">
            <w:pPr>
              <w:spacing w:line="240" w:lineRule="auto"/>
              <w:jc w:val="center"/>
              <w:textAlignment w:val="baseline"/>
              <w:rPr>
                <w:rFonts w:eastAsia="Times New Roman" w:cs="Arial"/>
                <w:b/>
                <w:bCs/>
                <w:sz w:val="14"/>
                <w:szCs w:val="14"/>
                <w:lang w:eastAsia="en-GB"/>
              </w:rPr>
            </w:pPr>
          </w:p>
          <w:p w14:paraId="370E161E" w14:textId="77777777" w:rsidR="006E7CBA" w:rsidRPr="003058F5" w:rsidRDefault="006E7CBA" w:rsidP="00393227">
            <w:pPr>
              <w:spacing w:line="240" w:lineRule="auto"/>
              <w:jc w:val="center"/>
              <w:textAlignment w:val="baseline"/>
              <w:rPr>
                <w:rFonts w:eastAsia="Times New Roman" w:cs="Arial"/>
                <w:sz w:val="18"/>
                <w:szCs w:val="18"/>
              </w:rPr>
            </w:pPr>
            <w:r>
              <w:rPr>
                <w:b/>
                <w:sz w:val="22"/>
              </w:rPr>
              <w:t>1</w:t>
            </w:r>
          </w:p>
        </w:tc>
        <w:tc>
          <w:tcPr>
            <w:tcW w:w="1986" w:type="dxa"/>
            <w:vMerge w:val="restart"/>
            <w:shd w:val="clear" w:color="auto" w:fill="A6A6A6" w:themeFill="background1" w:themeFillShade="A6"/>
            <w:tcMar>
              <w:top w:w="113" w:type="dxa"/>
              <w:left w:w="113" w:type="dxa"/>
              <w:bottom w:w="113" w:type="dxa"/>
              <w:right w:w="113" w:type="dxa"/>
            </w:tcMar>
            <w:vAlign w:val="center"/>
            <w:hideMark/>
          </w:tcPr>
          <w:p w14:paraId="32734D26" w14:textId="77777777" w:rsidR="006E7CBA" w:rsidRPr="003058F5" w:rsidRDefault="006E7CBA" w:rsidP="00393227">
            <w:pPr>
              <w:spacing w:line="240" w:lineRule="auto"/>
              <w:jc w:val="center"/>
              <w:textAlignment w:val="baseline"/>
              <w:rPr>
                <w:rFonts w:eastAsia="Times New Roman" w:cs="Arial"/>
                <w:b/>
                <w:bCs/>
                <w:color w:val="FFFFFF" w:themeColor="background1"/>
                <w:sz w:val="14"/>
                <w:szCs w:val="14"/>
              </w:rPr>
            </w:pPr>
            <w:r>
              <w:rPr>
                <w:b/>
                <w:color w:val="FFFFFF" w:themeColor="background1"/>
                <w:sz w:val="14"/>
              </w:rPr>
              <w:t>Type d'indicateur</w:t>
            </w:r>
          </w:p>
          <w:p w14:paraId="0C6372E4" w14:textId="77777777" w:rsidR="006E7CBA" w:rsidRPr="003058F5" w:rsidRDefault="006E7CBA" w:rsidP="00393227">
            <w:pPr>
              <w:spacing w:line="240" w:lineRule="auto"/>
              <w:jc w:val="center"/>
              <w:textAlignment w:val="baseline"/>
              <w:rPr>
                <w:rFonts w:eastAsia="Times New Roman" w:cs="Arial"/>
                <w:b/>
                <w:bCs/>
                <w:color w:val="FFFFFF" w:themeColor="background1"/>
                <w:sz w:val="14"/>
                <w:szCs w:val="14"/>
                <w:lang w:eastAsia="en-GB"/>
              </w:rPr>
            </w:pPr>
          </w:p>
          <w:p w14:paraId="5E3B3E43" w14:textId="77777777" w:rsidR="006E7CBA" w:rsidRPr="003058F5" w:rsidRDefault="006E7CBA" w:rsidP="00393227">
            <w:pPr>
              <w:spacing w:line="240" w:lineRule="auto"/>
              <w:jc w:val="center"/>
              <w:textAlignment w:val="baseline"/>
              <w:rPr>
                <w:rFonts w:eastAsia="Times New Roman" w:cs="Arial"/>
                <w:color w:val="FFFFFF" w:themeColor="background1"/>
                <w:sz w:val="32"/>
                <w:szCs w:val="32"/>
              </w:rPr>
            </w:pPr>
            <w:r>
              <w:rPr>
                <w:b/>
                <w:color w:val="FFFFFF" w:themeColor="background1"/>
                <w:sz w:val="32"/>
              </w:rPr>
              <w:t>PLUS</w:t>
            </w:r>
          </w:p>
          <w:p w14:paraId="21D07B57" w14:textId="77777777" w:rsidR="006E7CBA" w:rsidRPr="003058F5" w:rsidRDefault="006E7CBA" w:rsidP="00393227">
            <w:pPr>
              <w:spacing w:line="240" w:lineRule="auto"/>
              <w:jc w:val="center"/>
              <w:textAlignment w:val="baseline"/>
              <w:rPr>
                <w:rFonts w:eastAsia="Times New Roman" w:cs="Arial"/>
                <w:color w:val="FFFFFF" w:themeColor="background1"/>
                <w:sz w:val="18"/>
                <w:szCs w:val="18"/>
              </w:rPr>
            </w:pPr>
            <w:r>
              <w:rPr>
                <w:b/>
                <w:color w:val="FFFFFF" w:themeColor="background1"/>
                <w:sz w:val="10"/>
              </w:rPr>
              <w:t>PUBLICATION FACULTATIVE</w:t>
            </w:r>
          </w:p>
        </w:tc>
      </w:tr>
      <w:tr w:rsidR="006E7CBA" w:rsidRPr="003058F5" w14:paraId="52CBEB0E" w14:textId="77777777" w:rsidTr="00393227">
        <w:trPr>
          <w:trHeight w:val="380"/>
        </w:trPr>
        <w:tc>
          <w:tcPr>
            <w:tcW w:w="1841" w:type="dxa"/>
            <w:vMerge/>
            <w:vAlign w:val="center"/>
          </w:tcPr>
          <w:p w14:paraId="042A99F5" w14:textId="77777777" w:rsidR="006E7CBA" w:rsidRPr="003058F5" w:rsidRDefault="006E7CBA" w:rsidP="00393227">
            <w:pPr>
              <w:spacing w:line="240" w:lineRule="auto"/>
              <w:jc w:val="center"/>
              <w:textAlignment w:val="baseline"/>
              <w:rPr>
                <w:rFonts w:eastAsia="Times New Roman" w:cs="Arial"/>
                <w:b/>
                <w:sz w:val="14"/>
                <w:szCs w:val="14"/>
                <w:lang w:eastAsia="en-GB"/>
              </w:rPr>
            </w:pPr>
          </w:p>
        </w:tc>
        <w:tc>
          <w:tcPr>
            <w:tcW w:w="1559" w:type="dxa"/>
            <w:shd w:val="clear" w:color="auto" w:fill="F2F2F2" w:themeFill="background1" w:themeFillShade="F2"/>
            <w:vAlign w:val="center"/>
          </w:tcPr>
          <w:p w14:paraId="7160FCEE" w14:textId="2B48431A" w:rsidR="006E7CBA" w:rsidRPr="003058F5" w:rsidRDefault="006E7CBA" w:rsidP="00393227">
            <w:pPr>
              <w:spacing w:line="240" w:lineRule="auto"/>
              <w:textAlignment w:val="baseline"/>
              <w:rPr>
                <w:rFonts w:eastAsia="Times New Roman" w:cs="Arial"/>
                <w:b/>
                <w:sz w:val="14"/>
                <w:szCs w:val="14"/>
              </w:rPr>
            </w:pPr>
            <w:r>
              <w:rPr>
                <w:b/>
                <w:sz w:val="14"/>
              </w:rPr>
              <w:t>Accès à</w:t>
            </w:r>
            <w:r w:rsidR="00767929">
              <w:rPr>
                <w:b/>
                <w:sz w:val="14"/>
              </w:rPr>
              <w:t> :</w:t>
            </w:r>
          </w:p>
        </w:tc>
        <w:tc>
          <w:tcPr>
            <w:tcW w:w="2835" w:type="dxa"/>
            <w:shd w:val="clear" w:color="auto" w:fill="F2F2F2" w:themeFill="background1" w:themeFillShade="F2"/>
            <w:vAlign w:val="center"/>
          </w:tcPr>
          <w:p w14:paraId="30D427C1" w14:textId="77777777" w:rsidR="006E7CBA" w:rsidRPr="003058F5" w:rsidRDefault="006E7CBA" w:rsidP="00393227">
            <w:pPr>
              <w:spacing w:line="240" w:lineRule="auto"/>
              <w:textAlignment w:val="baseline"/>
              <w:rPr>
                <w:rFonts w:eastAsia="Times New Roman" w:cs="Arial"/>
                <w:b/>
                <w:sz w:val="14"/>
                <w:szCs w:val="14"/>
              </w:rPr>
            </w:pPr>
            <w:r>
              <w:rPr>
                <w:b/>
                <w:sz w:val="22"/>
              </w:rPr>
              <w:t>Sans objet</w:t>
            </w:r>
          </w:p>
        </w:tc>
        <w:tc>
          <w:tcPr>
            <w:tcW w:w="4678" w:type="dxa"/>
            <w:vMerge/>
            <w:vAlign w:val="center"/>
          </w:tcPr>
          <w:p w14:paraId="5605E32A" w14:textId="77777777" w:rsidR="006E7CBA" w:rsidRPr="003058F5" w:rsidRDefault="006E7CBA" w:rsidP="00393227">
            <w:pPr>
              <w:spacing w:line="240" w:lineRule="auto"/>
              <w:jc w:val="center"/>
              <w:textAlignment w:val="baseline"/>
              <w:rPr>
                <w:rFonts w:eastAsia="Times New Roman" w:cs="Arial"/>
                <w:b/>
                <w:sz w:val="14"/>
                <w:szCs w:val="14"/>
                <w:lang w:eastAsia="en-GB"/>
              </w:rPr>
            </w:pPr>
          </w:p>
        </w:tc>
        <w:tc>
          <w:tcPr>
            <w:tcW w:w="1985" w:type="dxa"/>
            <w:vMerge/>
            <w:vAlign w:val="center"/>
          </w:tcPr>
          <w:p w14:paraId="3AE8AA1C" w14:textId="77777777" w:rsidR="006E7CBA" w:rsidRPr="003058F5" w:rsidRDefault="006E7CBA" w:rsidP="00393227">
            <w:pPr>
              <w:spacing w:line="240" w:lineRule="auto"/>
              <w:jc w:val="center"/>
              <w:textAlignment w:val="baseline"/>
              <w:rPr>
                <w:rFonts w:eastAsia="Times New Roman" w:cs="Arial"/>
                <w:b/>
                <w:bCs/>
                <w:sz w:val="14"/>
                <w:szCs w:val="14"/>
                <w:lang w:eastAsia="en-GB"/>
              </w:rPr>
            </w:pPr>
          </w:p>
        </w:tc>
        <w:tc>
          <w:tcPr>
            <w:tcW w:w="1986" w:type="dxa"/>
            <w:vMerge/>
            <w:tcMar>
              <w:top w:w="113" w:type="dxa"/>
              <w:left w:w="113" w:type="dxa"/>
              <w:bottom w:w="113" w:type="dxa"/>
              <w:right w:w="113" w:type="dxa"/>
            </w:tcMar>
            <w:vAlign w:val="center"/>
          </w:tcPr>
          <w:p w14:paraId="0AD2C493" w14:textId="77777777" w:rsidR="006E7CBA" w:rsidRPr="003058F5" w:rsidRDefault="006E7CBA" w:rsidP="00393227">
            <w:pPr>
              <w:spacing w:line="240" w:lineRule="auto"/>
              <w:jc w:val="center"/>
              <w:textAlignment w:val="baseline"/>
              <w:rPr>
                <w:rFonts w:eastAsia="Times New Roman" w:cs="Arial"/>
                <w:b/>
                <w:bCs/>
                <w:color w:val="FFFFFF" w:themeColor="background1"/>
                <w:sz w:val="14"/>
                <w:szCs w:val="14"/>
                <w:lang w:eastAsia="en-GB"/>
              </w:rPr>
            </w:pPr>
          </w:p>
        </w:tc>
      </w:tr>
      <w:tr w:rsidR="006E7CBA" w:rsidRPr="003058F5" w14:paraId="0E27201D" w14:textId="77777777" w:rsidTr="00393227">
        <w:trPr>
          <w:trHeight w:val="567"/>
        </w:trPr>
        <w:tc>
          <w:tcPr>
            <w:tcW w:w="14884" w:type="dxa"/>
            <w:gridSpan w:val="6"/>
            <w:shd w:val="clear" w:color="auto" w:fill="FFFFFF" w:themeFill="background1"/>
            <w:tcMar>
              <w:top w:w="113" w:type="dxa"/>
              <w:left w:w="113" w:type="dxa"/>
              <w:bottom w:w="113" w:type="dxa"/>
              <w:right w:w="113" w:type="dxa"/>
            </w:tcMar>
            <w:vAlign w:val="center"/>
            <w:hideMark/>
          </w:tcPr>
          <w:p w14:paraId="74056601" w14:textId="527A6F21" w:rsidR="006E7CBA" w:rsidRPr="003058F5" w:rsidRDefault="006E7CBA" w:rsidP="00393227">
            <w:pPr>
              <w:spacing w:line="276" w:lineRule="auto"/>
              <w:textAlignment w:val="baseline"/>
              <w:rPr>
                <w:rFonts w:eastAsia="Times New Roman" w:cs="Arial"/>
                <w:b/>
              </w:rPr>
            </w:pPr>
            <w:r>
              <w:rPr>
                <w:b/>
              </w:rPr>
              <w:t xml:space="preserve">Veuillez décrire comment les informations ou les données sur les </w:t>
            </w:r>
            <w:hyperlink r:id="rId61" w:history="1">
              <w:r>
                <w:rPr>
                  <w:rStyle w:val="Lienhypertexte"/>
                  <w:b/>
                </w:rPr>
                <w:t>critères ESG majeurs</w:t>
              </w:r>
            </w:hyperlink>
            <w:r>
              <w:rPr>
                <w:b/>
              </w:rPr>
              <w:t xml:space="preserve"> ont influencé les pondérations et la construction de portefeuille dans chacune de vos principales </w:t>
            </w:r>
            <w:hyperlink r:id="rId62" w:history="1">
              <w:r>
                <w:rPr>
                  <w:rStyle w:val="Lienhypertexte"/>
                  <w:b/>
                </w:rPr>
                <w:t>stratégies relatives aux fonds spéculatifs</w:t>
              </w:r>
            </w:hyperlink>
            <w:r>
              <w:rPr>
                <w:b/>
              </w:rPr>
              <w:t xml:space="preserve"> au cours de l'année de référence.</w:t>
            </w:r>
          </w:p>
        </w:tc>
      </w:tr>
      <w:tr w:rsidR="006E7CBA" w:rsidRPr="003058F5" w14:paraId="35B0D6DC" w14:textId="77777777" w:rsidTr="00393227">
        <w:trPr>
          <w:trHeight w:val="23"/>
        </w:trPr>
        <w:tc>
          <w:tcPr>
            <w:tcW w:w="6235" w:type="dxa"/>
            <w:gridSpan w:val="3"/>
            <w:tcBorders>
              <w:bottom w:val="single" w:sz="6" w:space="0" w:color="A6A6A6" w:themeColor="background1" w:themeShade="A6"/>
            </w:tcBorders>
            <w:shd w:val="clear" w:color="auto" w:fill="F2F2F2" w:themeFill="background1" w:themeFillShade="F2"/>
            <w:tcMar>
              <w:top w:w="113" w:type="dxa"/>
              <w:left w:w="113" w:type="dxa"/>
              <w:bottom w:w="113" w:type="dxa"/>
              <w:right w:w="113" w:type="dxa"/>
            </w:tcMar>
            <w:vAlign w:val="center"/>
            <w:hideMark/>
          </w:tcPr>
          <w:p w14:paraId="0E07B3CF" w14:textId="77777777" w:rsidR="006E7CBA" w:rsidRPr="003058F5" w:rsidRDefault="006E7CBA" w:rsidP="00393227">
            <w:pPr>
              <w:spacing w:line="276" w:lineRule="auto"/>
              <w:textAlignment w:val="baseline"/>
              <w:rPr>
                <w:rFonts w:eastAsia="Times New Roman" w:cs="Arial"/>
                <w:b/>
                <w:szCs w:val="16"/>
              </w:rPr>
            </w:pPr>
            <w:r>
              <w:rPr>
                <w:b/>
              </w:rPr>
              <w:t>Stratégies relatives aux fonds spéculatifs gérés en interne</w:t>
            </w:r>
          </w:p>
        </w:tc>
        <w:tc>
          <w:tcPr>
            <w:tcW w:w="8649" w:type="dxa"/>
            <w:gridSpan w:val="3"/>
            <w:tcBorders>
              <w:bottom w:val="single" w:sz="6" w:space="0" w:color="A6A6A6" w:themeColor="background1" w:themeShade="A6"/>
            </w:tcBorders>
            <w:shd w:val="clear" w:color="auto" w:fill="F2F2F2" w:themeFill="background1" w:themeFillShade="F2"/>
            <w:vAlign w:val="center"/>
          </w:tcPr>
          <w:p w14:paraId="5889B350" w14:textId="77777777" w:rsidR="006E7CBA" w:rsidRPr="003058F5" w:rsidRDefault="006E7CBA" w:rsidP="00393227">
            <w:pPr>
              <w:spacing w:line="276" w:lineRule="auto"/>
              <w:textAlignment w:val="baseline"/>
              <w:rPr>
                <w:rFonts w:eastAsia="Times New Roman" w:cs="Arial"/>
                <w:b/>
                <w:strike/>
                <w:szCs w:val="16"/>
              </w:rPr>
            </w:pPr>
            <w:r>
              <w:rPr>
                <w:b/>
              </w:rPr>
              <w:t>Exemple</w:t>
            </w:r>
          </w:p>
        </w:tc>
      </w:tr>
      <w:tr w:rsidR="006E7CBA" w:rsidRPr="003058F5" w14:paraId="135D960E" w14:textId="77777777" w:rsidTr="00393227">
        <w:trPr>
          <w:trHeight w:val="465"/>
        </w:trPr>
        <w:tc>
          <w:tcPr>
            <w:tcW w:w="6235" w:type="dxa"/>
            <w:gridSpan w:val="3"/>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5C2F84BF" w14:textId="411A809B" w:rsidR="006E7CBA" w:rsidRPr="00F34AA0" w:rsidRDefault="006E7CBA" w:rsidP="00393227">
            <w:pPr>
              <w:spacing w:line="276" w:lineRule="auto"/>
              <w:textAlignment w:val="baseline"/>
              <w:rPr>
                <w:rFonts w:eastAsia="Times New Roman" w:cs="Arial"/>
                <w:szCs w:val="16"/>
              </w:rPr>
            </w:pPr>
            <w:r>
              <w:t xml:space="preserve">(A) </w:t>
            </w:r>
            <w:r w:rsidR="007931AB" w:rsidDel="00F34AA0">
              <w:fldChar w:fldCharType="begin"/>
            </w:r>
            <w:r w:rsidR="007931AB" w:rsidDel="00F34AA0">
              <w:fldChar w:fldCharType="separate"/>
            </w:r>
            <w:r w:rsidR="00F34AA0" w:rsidRPr="00094C25">
              <w:rPr>
                <w:rStyle w:val="Lienhypertexte"/>
              </w:rPr>
              <w:t>Multi-strategy</w:t>
            </w:r>
            <w:r w:rsidR="007931AB" w:rsidDel="00F34AA0">
              <w:fldChar w:fldCharType="end"/>
            </w:r>
          </w:p>
        </w:tc>
        <w:tc>
          <w:tcPr>
            <w:tcW w:w="8649" w:type="dxa"/>
            <w:gridSpan w:val="3"/>
            <w:tcBorders>
              <w:bottom w:val="single" w:sz="6" w:space="0" w:color="A6A6A6" w:themeColor="background1" w:themeShade="A6"/>
            </w:tcBorders>
            <w:shd w:val="clear" w:color="auto" w:fill="FFFFFF" w:themeFill="background1"/>
            <w:vAlign w:val="center"/>
          </w:tcPr>
          <w:p w14:paraId="26047086" w14:textId="0E430774" w:rsidR="006E7CBA" w:rsidRPr="003058F5" w:rsidRDefault="006E7CBA" w:rsidP="00393227">
            <w:pPr>
              <w:spacing w:line="276" w:lineRule="auto"/>
              <w:textAlignment w:val="baseline"/>
              <w:rPr>
                <w:rFonts w:eastAsia="Times New Roman" w:cs="Arial"/>
                <w:strike/>
                <w:szCs w:val="16"/>
              </w:rPr>
            </w:pPr>
            <w:r>
              <w:t>[Texte libre</w:t>
            </w:r>
            <w:r w:rsidR="00767929">
              <w:t> :</w:t>
            </w:r>
            <w:r>
              <w:t xml:space="preserve"> long]</w:t>
            </w:r>
          </w:p>
        </w:tc>
      </w:tr>
      <w:tr w:rsidR="006E7CBA" w:rsidRPr="003058F5" w14:paraId="49C8D549" w14:textId="77777777" w:rsidTr="00393227">
        <w:trPr>
          <w:trHeight w:val="465"/>
        </w:trPr>
        <w:tc>
          <w:tcPr>
            <w:tcW w:w="6235" w:type="dxa"/>
            <w:gridSpan w:val="3"/>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0852549B" w14:textId="4569EDEF" w:rsidR="006E7CBA" w:rsidRPr="00F34AA0" w:rsidRDefault="006E7CBA" w:rsidP="00393227">
            <w:pPr>
              <w:spacing w:line="276" w:lineRule="auto"/>
              <w:textAlignment w:val="baseline"/>
              <w:rPr>
                <w:rFonts w:eastAsia="Times New Roman" w:cs="Arial"/>
                <w:szCs w:val="16"/>
              </w:rPr>
            </w:pPr>
            <w:r>
              <w:t xml:space="preserve">(B) </w:t>
            </w:r>
            <w:r w:rsidR="007931AB" w:rsidDel="00F34AA0">
              <w:fldChar w:fldCharType="begin"/>
            </w:r>
            <w:r w:rsidR="007931AB" w:rsidDel="00F34AA0">
              <w:fldChar w:fldCharType="separate"/>
            </w:r>
            <w:r w:rsidR="00F34AA0" w:rsidRPr="000A0FA3">
              <w:rPr>
                <w:rStyle w:val="Lienhypertexte"/>
              </w:rPr>
              <w:t>Long/short equity</w:t>
            </w:r>
            <w:r w:rsidR="007931AB" w:rsidDel="00F34AA0">
              <w:fldChar w:fldCharType="end"/>
            </w:r>
            <w:r>
              <w:t xml:space="preserve"> </w:t>
            </w:r>
          </w:p>
        </w:tc>
        <w:tc>
          <w:tcPr>
            <w:tcW w:w="8649" w:type="dxa"/>
            <w:gridSpan w:val="3"/>
            <w:tcBorders>
              <w:bottom w:val="single" w:sz="6" w:space="0" w:color="A6A6A6" w:themeColor="background1" w:themeShade="A6"/>
            </w:tcBorders>
            <w:shd w:val="clear" w:color="auto" w:fill="FFFFFF" w:themeFill="background1"/>
            <w:vAlign w:val="center"/>
          </w:tcPr>
          <w:p w14:paraId="598476A7" w14:textId="3C8199CC" w:rsidR="006E7CBA" w:rsidRPr="003058F5" w:rsidRDefault="006E7CBA" w:rsidP="00393227">
            <w:pPr>
              <w:spacing w:line="276" w:lineRule="auto"/>
              <w:textAlignment w:val="baseline"/>
              <w:rPr>
                <w:rFonts w:eastAsia="Times New Roman" w:cs="Arial"/>
                <w:strike/>
                <w:szCs w:val="16"/>
              </w:rPr>
            </w:pPr>
            <w:r>
              <w:t>[Texte libre</w:t>
            </w:r>
            <w:r w:rsidR="00767929">
              <w:t> :</w:t>
            </w:r>
            <w:r>
              <w:t xml:space="preserve"> long]</w:t>
            </w:r>
          </w:p>
        </w:tc>
      </w:tr>
      <w:tr w:rsidR="006E7CBA" w:rsidRPr="003058F5" w14:paraId="23B3C1C8" w14:textId="77777777" w:rsidTr="00393227">
        <w:trPr>
          <w:trHeight w:val="465"/>
        </w:trPr>
        <w:tc>
          <w:tcPr>
            <w:tcW w:w="6235" w:type="dxa"/>
            <w:gridSpan w:val="3"/>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38AB2B96" w14:textId="4C81F07B" w:rsidR="006E7CBA" w:rsidRPr="00F34AA0" w:rsidRDefault="006E7CBA" w:rsidP="00393227">
            <w:pPr>
              <w:spacing w:line="276" w:lineRule="auto"/>
              <w:textAlignment w:val="baseline"/>
              <w:rPr>
                <w:rFonts w:eastAsia="Times New Roman" w:cs="Arial"/>
                <w:szCs w:val="16"/>
              </w:rPr>
            </w:pPr>
            <w:r>
              <w:t xml:space="preserve">(C) </w:t>
            </w:r>
            <w:r w:rsidR="007931AB" w:rsidDel="00F34AA0">
              <w:fldChar w:fldCharType="begin"/>
            </w:r>
            <w:r w:rsidR="007931AB" w:rsidDel="00F34AA0">
              <w:fldChar w:fldCharType="separate"/>
            </w:r>
            <w:r w:rsidR="00F34AA0" w:rsidRPr="000A0FA3">
              <w:rPr>
                <w:rStyle w:val="Lienhypertexte"/>
              </w:rPr>
              <w:t>Long/short credit</w:t>
            </w:r>
            <w:r w:rsidR="007931AB" w:rsidDel="00F34AA0">
              <w:fldChar w:fldCharType="end"/>
            </w:r>
          </w:p>
        </w:tc>
        <w:tc>
          <w:tcPr>
            <w:tcW w:w="8649" w:type="dxa"/>
            <w:gridSpan w:val="3"/>
            <w:tcBorders>
              <w:bottom w:val="single" w:sz="6" w:space="0" w:color="A6A6A6" w:themeColor="background1" w:themeShade="A6"/>
            </w:tcBorders>
            <w:shd w:val="clear" w:color="auto" w:fill="FFFFFF" w:themeFill="background1"/>
            <w:vAlign w:val="center"/>
          </w:tcPr>
          <w:p w14:paraId="19B3D9B5" w14:textId="52F60AD7" w:rsidR="006E7CBA" w:rsidRPr="003058F5" w:rsidRDefault="006E7CBA" w:rsidP="00393227">
            <w:pPr>
              <w:spacing w:line="276" w:lineRule="auto"/>
              <w:textAlignment w:val="baseline"/>
              <w:rPr>
                <w:rFonts w:eastAsia="Times New Roman" w:cs="Arial"/>
                <w:strike/>
                <w:szCs w:val="16"/>
              </w:rPr>
            </w:pPr>
            <w:r>
              <w:t>[Texte libre</w:t>
            </w:r>
            <w:r w:rsidR="00767929">
              <w:t> :</w:t>
            </w:r>
            <w:r>
              <w:t xml:space="preserve"> long]</w:t>
            </w:r>
          </w:p>
        </w:tc>
      </w:tr>
      <w:tr w:rsidR="006E7CBA" w:rsidRPr="003058F5" w14:paraId="356571E6" w14:textId="77777777" w:rsidTr="00393227">
        <w:trPr>
          <w:trHeight w:val="465"/>
        </w:trPr>
        <w:tc>
          <w:tcPr>
            <w:tcW w:w="6235" w:type="dxa"/>
            <w:gridSpan w:val="3"/>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421DE501" w14:textId="2A88DCAC" w:rsidR="006E7CBA" w:rsidRPr="00F34AA0" w:rsidRDefault="006E7CBA" w:rsidP="00393227">
            <w:pPr>
              <w:spacing w:line="276" w:lineRule="auto"/>
              <w:textAlignment w:val="baseline"/>
              <w:rPr>
                <w:rFonts w:eastAsia="Times New Roman" w:cs="Arial"/>
                <w:szCs w:val="16"/>
              </w:rPr>
            </w:pPr>
            <w:r>
              <w:t xml:space="preserve">(D) </w:t>
            </w:r>
            <w:r w:rsidR="007931AB" w:rsidDel="00F34AA0">
              <w:fldChar w:fldCharType="begin"/>
            </w:r>
            <w:r w:rsidR="007931AB" w:rsidDel="00F34AA0">
              <w:fldChar w:fldCharType="separate"/>
            </w:r>
            <w:r w:rsidR="00F34AA0" w:rsidRPr="000A0FA3">
              <w:rPr>
                <w:rStyle w:val="Lienhypertexte"/>
              </w:rPr>
              <w:t>Distressed, special situations and event-driven fundamental</w:t>
            </w:r>
            <w:r w:rsidR="007931AB" w:rsidDel="00F34AA0">
              <w:fldChar w:fldCharType="end"/>
            </w:r>
            <w:r>
              <w:t xml:space="preserve"> </w:t>
            </w:r>
          </w:p>
        </w:tc>
        <w:tc>
          <w:tcPr>
            <w:tcW w:w="8649" w:type="dxa"/>
            <w:gridSpan w:val="3"/>
            <w:tcBorders>
              <w:bottom w:val="single" w:sz="6" w:space="0" w:color="A6A6A6" w:themeColor="background1" w:themeShade="A6"/>
            </w:tcBorders>
            <w:shd w:val="clear" w:color="auto" w:fill="FFFFFF" w:themeFill="background1"/>
            <w:vAlign w:val="center"/>
          </w:tcPr>
          <w:p w14:paraId="0FE73EEB" w14:textId="440AAAE1" w:rsidR="006E7CBA" w:rsidRPr="003058F5" w:rsidRDefault="006E7CBA" w:rsidP="00393227">
            <w:pPr>
              <w:spacing w:line="276" w:lineRule="auto"/>
              <w:textAlignment w:val="baseline"/>
              <w:rPr>
                <w:rFonts w:eastAsia="Times New Roman" w:cs="Arial"/>
                <w:strike/>
                <w:szCs w:val="16"/>
              </w:rPr>
            </w:pPr>
            <w:r>
              <w:t>[Texte libre</w:t>
            </w:r>
            <w:r w:rsidR="00767929">
              <w:t> :</w:t>
            </w:r>
            <w:r>
              <w:t xml:space="preserve"> long]</w:t>
            </w:r>
          </w:p>
        </w:tc>
      </w:tr>
      <w:tr w:rsidR="006E7CBA" w:rsidRPr="003058F5" w14:paraId="7E595AAC" w14:textId="77777777" w:rsidTr="00393227">
        <w:trPr>
          <w:trHeight w:val="465"/>
        </w:trPr>
        <w:tc>
          <w:tcPr>
            <w:tcW w:w="6235" w:type="dxa"/>
            <w:gridSpan w:val="3"/>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0FCF44B2" w14:textId="456958DA" w:rsidR="006E7CBA" w:rsidRPr="00F34AA0" w:rsidRDefault="006E7CBA" w:rsidP="00393227">
            <w:pPr>
              <w:spacing w:line="276" w:lineRule="auto"/>
              <w:textAlignment w:val="baseline"/>
              <w:rPr>
                <w:rFonts w:eastAsia="Times New Roman" w:cs="Arial"/>
                <w:szCs w:val="16"/>
              </w:rPr>
            </w:pPr>
            <w:r>
              <w:t xml:space="preserve">(E) </w:t>
            </w:r>
            <w:r w:rsidR="007931AB" w:rsidDel="00F34AA0">
              <w:fldChar w:fldCharType="begin"/>
            </w:r>
            <w:r w:rsidR="007931AB" w:rsidDel="00F34AA0">
              <w:fldChar w:fldCharType="separate"/>
            </w:r>
            <w:r w:rsidR="00F34AA0" w:rsidRPr="000A0FA3">
              <w:rPr>
                <w:rStyle w:val="Lienhypertexte"/>
              </w:rPr>
              <w:t>Structured credit</w:t>
            </w:r>
            <w:r w:rsidR="007931AB" w:rsidDel="00F34AA0">
              <w:fldChar w:fldCharType="end"/>
            </w:r>
          </w:p>
        </w:tc>
        <w:tc>
          <w:tcPr>
            <w:tcW w:w="8649" w:type="dxa"/>
            <w:gridSpan w:val="3"/>
            <w:tcBorders>
              <w:bottom w:val="single" w:sz="6" w:space="0" w:color="A6A6A6" w:themeColor="background1" w:themeShade="A6"/>
            </w:tcBorders>
            <w:shd w:val="clear" w:color="auto" w:fill="FFFFFF" w:themeFill="background1"/>
            <w:vAlign w:val="center"/>
          </w:tcPr>
          <w:p w14:paraId="1D8B26B9" w14:textId="684A4C3B" w:rsidR="006E7CBA" w:rsidRPr="003058F5" w:rsidRDefault="006E7CBA" w:rsidP="00393227">
            <w:pPr>
              <w:spacing w:line="276" w:lineRule="auto"/>
              <w:textAlignment w:val="baseline"/>
              <w:rPr>
                <w:rFonts w:eastAsia="Times New Roman" w:cs="Arial"/>
                <w:strike/>
                <w:szCs w:val="16"/>
              </w:rPr>
            </w:pPr>
            <w:r>
              <w:t>[Texte libre</w:t>
            </w:r>
            <w:r w:rsidR="00767929">
              <w:t> :</w:t>
            </w:r>
            <w:r>
              <w:t xml:space="preserve"> long]</w:t>
            </w:r>
          </w:p>
        </w:tc>
      </w:tr>
      <w:tr w:rsidR="006E7CBA" w:rsidRPr="003058F5" w14:paraId="164DBF79" w14:textId="77777777" w:rsidTr="00393227">
        <w:trPr>
          <w:trHeight w:val="465"/>
        </w:trPr>
        <w:tc>
          <w:tcPr>
            <w:tcW w:w="6235" w:type="dxa"/>
            <w:gridSpan w:val="3"/>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44F88606" w14:textId="2C8A56D8" w:rsidR="006E7CBA" w:rsidRPr="00F34AA0" w:rsidRDefault="006E7CBA" w:rsidP="00393227">
            <w:pPr>
              <w:spacing w:line="276" w:lineRule="auto"/>
              <w:textAlignment w:val="baseline"/>
              <w:rPr>
                <w:rFonts w:eastAsia="Times New Roman" w:cs="Arial"/>
                <w:szCs w:val="16"/>
              </w:rPr>
            </w:pPr>
            <w:r>
              <w:t xml:space="preserve">(F) </w:t>
            </w:r>
            <w:r w:rsidR="007931AB" w:rsidDel="00F34AA0">
              <w:fldChar w:fldCharType="begin"/>
            </w:r>
            <w:r w:rsidR="007931AB" w:rsidDel="00F34AA0">
              <w:fldChar w:fldCharType="separate"/>
            </w:r>
            <w:r w:rsidR="00F34AA0" w:rsidRPr="000A0FA3">
              <w:rPr>
                <w:rStyle w:val="Lienhypertexte"/>
              </w:rPr>
              <w:t>Global macro</w:t>
            </w:r>
            <w:r w:rsidR="007931AB" w:rsidDel="00F34AA0">
              <w:fldChar w:fldCharType="end"/>
            </w:r>
          </w:p>
        </w:tc>
        <w:tc>
          <w:tcPr>
            <w:tcW w:w="8649" w:type="dxa"/>
            <w:gridSpan w:val="3"/>
            <w:tcBorders>
              <w:bottom w:val="single" w:sz="6" w:space="0" w:color="A6A6A6" w:themeColor="background1" w:themeShade="A6"/>
            </w:tcBorders>
            <w:shd w:val="clear" w:color="auto" w:fill="FFFFFF" w:themeFill="background1"/>
            <w:vAlign w:val="center"/>
          </w:tcPr>
          <w:p w14:paraId="0D3A72AB" w14:textId="055B731E" w:rsidR="006E7CBA" w:rsidRPr="003058F5" w:rsidRDefault="006E7CBA" w:rsidP="00393227">
            <w:pPr>
              <w:spacing w:line="276" w:lineRule="auto"/>
              <w:textAlignment w:val="baseline"/>
              <w:rPr>
                <w:rFonts w:eastAsia="Times New Roman" w:cs="Arial"/>
                <w:strike/>
                <w:szCs w:val="16"/>
              </w:rPr>
            </w:pPr>
            <w:r>
              <w:t>[Texte libre</w:t>
            </w:r>
            <w:r w:rsidR="00767929">
              <w:t> :</w:t>
            </w:r>
            <w:r>
              <w:t xml:space="preserve"> long]</w:t>
            </w:r>
          </w:p>
        </w:tc>
      </w:tr>
      <w:tr w:rsidR="006E7CBA" w:rsidRPr="003058F5" w14:paraId="45604CA8" w14:textId="77777777" w:rsidTr="00393227">
        <w:trPr>
          <w:trHeight w:val="465"/>
        </w:trPr>
        <w:tc>
          <w:tcPr>
            <w:tcW w:w="6235" w:type="dxa"/>
            <w:gridSpan w:val="3"/>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3FB74505" w14:textId="73E91244" w:rsidR="006E7CBA" w:rsidRPr="00F34AA0" w:rsidRDefault="006E7CBA" w:rsidP="00393227">
            <w:pPr>
              <w:spacing w:line="276" w:lineRule="auto"/>
              <w:textAlignment w:val="baseline"/>
              <w:rPr>
                <w:rFonts w:eastAsia="Times New Roman" w:cs="Arial"/>
                <w:szCs w:val="16"/>
              </w:rPr>
            </w:pPr>
            <w:r>
              <w:t xml:space="preserve">(G) </w:t>
            </w:r>
            <w:r w:rsidR="007931AB" w:rsidDel="00F34AA0">
              <w:fldChar w:fldCharType="begin"/>
            </w:r>
            <w:r w:rsidR="007931AB" w:rsidDel="00F34AA0">
              <w:fldChar w:fldCharType="separate"/>
            </w:r>
            <w:r w:rsidR="00F34AA0" w:rsidRPr="000A0FA3">
              <w:rPr>
                <w:rStyle w:val="Lienhypertexte"/>
              </w:rPr>
              <w:t>Commodity trading advisor</w:t>
            </w:r>
            <w:r w:rsidR="007931AB" w:rsidDel="00F34AA0">
              <w:fldChar w:fldCharType="end"/>
            </w:r>
          </w:p>
        </w:tc>
        <w:tc>
          <w:tcPr>
            <w:tcW w:w="8649" w:type="dxa"/>
            <w:gridSpan w:val="3"/>
            <w:tcBorders>
              <w:bottom w:val="single" w:sz="6" w:space="0" w:color="A6A6A6" w:themeColor="background1" w:themeShade="A6"/>
            </w:tcBorders>
            <w:shd w:val="clear" w:color="auto" w:fill="FFFFFF" w:themeFill="background1"/>
            <w:vAlign w:val="center"/>
          </w:tcPr>
          <w:p w14:paraId="74DFB644" w14:textId="205BE6CB" w:rsidR="006E7CBA" w:rsidRPr="003058F5" w:rsidRDefault="006E7CBA" w:rsidP="00393227">
            <w:pPr>
              <w:spacing w:line="276" w:lineRule="auto"/>
              <w:textAlignment w:val="baseline"/>
              <w:rPr>
                <w:rFonts w:eastAsia="Times New Roman" w:cs="Arial"/>
                <w:strike/>
                <w:szCs w:val="16"/>
              </w:rPr>
            </w:pPr>
            <w:r>
              <w:t>[Texte libre</w:t>
            </w:r>
            <w:r w:rsidR="00767929">
              <w:t> :</w:t>
            </w:r>
            <w:r>
              <w:t xml:space="preserve"> long]</w:t>
            </w:r>
          </w:p>
        </w:tc>
      </w:tr>
      <w:tr w:rsidR="006E7CBA" w:rsidRPr="003058F5" w14:paraId="634109F0" w14:textId="77777777" w:rsidTr="00393227">
        <w:trPr>
          <w:trHeight w:val="465"/>
        </w:trPr>
        <w:tc>
          <w:tcPr>
            <w:tcW w:w="6235" w:type="dxa"/>
            <w:gridSpan w:val="3"/>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1A69AFE9" w14:textId="77777777" w:rsidR="006E7CBA" w:rsidRPr="003058F5" w:rsidRDefault="006E7CBA" w:rsidP="00393227">
            <w:pPr>
              <w:spacing w:line="276" w:lineRule="auto"/>
              <w:textAlignment w:val="baseline"/>
            </w:pPr>
            <w:r>
              <w:t>(H) Autres stratégies</w:t>
            </w:r>
          </w:p>
        </w:tc>
        <w:tc>
          <w:tcPr>
            <w:tcW w:w="8649" w:type="dxa"/>
            <w:gridSpan w:val="3"/>
            <w:tcBorders>
              <w:bottom w:val="single" w:sz="6" w:space="0" w:color="A6A6A6" w:themeColor="background1" w:themeShade="A6"/>
            </w:tcBorders>
            <w:shd w:val="clear" w:color="auto" w:fill="FFFFFF" w:themeFill="background1"/>
            <w:vAlign w:val="center"/>
          </w:tcPr>
          <w:p w14:paraId="638E402E" w14:textId="00B1C9A0" w:rsidR="006E7CBA" w:rsidRPr="003058F5" w:rsidRDefault="006E7CBA" w:rsidP="00393227">
            <w:pPr>
              <w:spacing w:line="276" w:lineRule="auto"/>
              <w:textAlignment w:val="baseline"/>
              <w:rPr>
                <w:rFonts w:eastAsia="Times New Roman" w:cs="Arial"/>
                <w:strike/>
                <w:szCs w:val="16"/>
              </w:rPr>
            </w:pPr>
            <w:r>
              <w:t>[Texte libre</w:t>
            </w:r>
            <w:r w:rsidR="00767929">
              <w:t> :</w:t>
            </w:r>
            <w:r>
              <w:t xml:space="preserve"> long]</w:t>
            </w:r>
          </w:p>
        </w:tc>
      </w:tr>
      <w:tr w:rsidR="006E7CBA" w:rsidRPr="003058F5" w14:paraId="65CC61F6" w14:textId="77777777" w:rsidTr="00393227">
        <w:trPr>
          <w:trHeight w:val="300"/>
        </w:trPr>
        <w:tc>
          <w:tcPr>
            <w:tcW w:w="14884" w:type="dxa"/>
            <w:gridSpan w:val="6"/>
            <w:tcBorders>
              <w:left w:val="nil"/>
              <w:right w:val="nil"/>
            </w:tcBorders>
            <w:shd w:val="clear" w:color="auto" w:fill="FFFFFF" w:themeFill="background1"/>
            <w:tcMar>
              <w:top w:w="0" w:type="dxa"/>
              <w:bottom w:w="0" w:type="dxa"/>
            </w:tcMar>
            <w:vAlign w:val="center"/>
          </w:tcPr>
          <w:p w14:paraId="5127253C" w14:textId="77777777" w:rsidR="006E7CBA" w:rsidRPr="003058F5" w:rsidRDefault="006E7CBA" w:rsidP="00393227">
            <w:pPr>
              <w:spacing w:line="240" w:lineRule="auto"/>
              <w:jc w:val="center"/>
              <w:textAlignment w:val="baseline"/>
              <w:rPr>
                <w:rStyle w:val="Lienhypertexte"/>
                <w:sz w:val="16"/>
                <w:szCs w:val="16"/>
              </w:rPr>
            </w:pPr>
          </w:p>
        </w:tc>
      </w:tr>
      <w:tr w:rsidR="006E7CBA" w:rsidRPr="003058F5" w14:paraId="0E6EBAE7" w14:textId="77777777" w:rsidTr="00393227">
        <w:trPr>
          <w:trHeight w:val="300"/>
        </w:trPr>
        <w:tc>
          <w:tcPr>
            <w:tcW w:w="14884" w:type="dxa"/>
            <w:gridSpan w:val="6"/>
            <w:shd w:val="clear" w:color="auto" w:fill="0070C0"/>
            <w:vAlign w:val="center"/>
          </w:tcPr>
          <w:p w14:paraId="6CD6FB2C" w14:textId="77777777" w:rsidR="006E7CBA" w:rsidRPr="003058F5" w:rsidRDefault="006E7CBA" w:rsidP="00393227">
            <w:pPr>
              <w:rPr>
                <w:rStyle w:val="Lienhypertexte"/>
                <w:b/>
                <w:bCs/>
                <w:color w:val="FFFFFF" w:themeColor="background1"/>
                <w:sz w:val="18"/>
                <w:szCs w:val="18"/>
              </w:rPr>
            </w:pPr>
            <w:r>
              <w:rPr>
                <w:b/>
                <w:color w:val="FFFFFF" w:themeColor="background1"/>
                <w:sz w:val="18"/>
              </w:rPr>
              <w:lastRenderedPageBreak/>
              <w:t>Notes explicatives</w:t>
            </w:r>
          </w:p>
        </w:tc>
      </w:tr>
      <w:tr w:rsidR="006E7CBA" w:rsidRPr="003058F5" w14:paraId="67E7A82C" w14:textId="77777777" w:rsidTr="00393227">
        <w:trPr>
          <w:trHeight w:val="300"/>
        </w:trPr>
        <w:tc>
          <w:tcPr>
            <w:tcW w:w="1841" w:type="dxa"/>
            <w:shd w:val="clear" w:color="auto" w:fill="auto"/>
            <w:vAlign w:val="center"/>
          </w:tcPr>
          <w:p w14:paraId="4904E365" w14:textId="77777777" w:rsidR="006E7CBA" w:rsidRPr="003058F5" w:rsidRDefault="006E7CBA" w:rsidP="00393227">
            <w:pPr>
              <w:rPr>
                <w:rStyle w:val="Lienhypertexte"/>
                <w:b/>
                <w:sz w:val="16"/>
                <w:szCs w:val="16"/>
              </w:rPr>
            </w:pPr>
            <w:r>
              <w:rPr>
                <w:b/>
                <w:sz w:val="16"/>
              </w:rPr>
              <w:t>Objectif de l’indicateur</w:t>
            </w:r>
          </w:p>
        </w:tc>
        <w:tc>
          <w:tcPr>
            <w:tcW w:w="13043" w:type="dxa"/>
            <w:gridSpan w:val="5"/>
            <w:shd w:val="clear" w:color="auto" w:fill="auto"/>
            <w:vAlign w:val="center"/>
          </w:tcPr>
          <w:p w14:paraId="5B946B5D" w14:textId="00B6281F" w:rsidR="006E7CBA" w:rsidRPr="003058F5" w:rsidRDefault="006E7CBA" w:rsidP="00393227">
            <w:pPr>
              <w:rPr>
                <w:rStyle w:val="Lienhypertexte"/>
                <w:color w:val="000000" w:themeColor="text1"/>
                <w:sz w:val="16"/>
                <w:szCs w:val="16"/>
              </w:rPr>
            </w:pPr>
            <w:r>
              <w:rPr>
                <w:rStyle w:val="Lienhypertexte"/>
                <w:color w:val="000000" w:themeColor="text1"/>
                <w:sz w:val="16"/>
              </w:rPr>
              <w:t>Cet indicateur fournit des exemples de pratiques intéressantes, innovantes ou exemplaires en matière de prise en compte des critères ESG majeurs dans les pondérations et la construction de portefeuille couvrant les principales stratégies relatives aux fonds spéculatifs, ce qui permet aux signataires de partager différentes pratiques et expériences.</w:t>
            </w:r>
          </w:p>
        </w:tc>
      </w:tr>
      <w:tr w:rsidR="006E7CBA" w:rsidRPr="003058F5" w14:paraId="4186A582" w14:textId="77777777" w:rsidTr="00393227">
        <w:trPr>
          <w:trHeight w:val="300"/>
        </w:trPr>
        <w:tc>
          <w:tcPr>
            <w:tcW w:w="1841" w:type="dxa"/>
            <w:shd w:val="clear" w:color="auto" w:fill="auto"/>
            <w:vAlign w:val="center"/>
          </w:tcPr>
          <w:p w14:paraId="3D2B9493" w14:textId="77777777" w:rsidR="006E7CBA" w:rsidRPr="003058F5" w:rsidRDefault="006E7CBA" w:rsidP="00393227">
            <w:pPr>
              <w:rPr>
                <w:b/>
                <w:bCs/>
                <w:sz w:val="16"/>
                <w:szCs w:val="16"/>
              </w:rPr>
            </w:pPr>
            <w:r>
              <w:rPr>
                <w:b/>
                <w:sz w:val="16"/>
              </w:rPr>
              <w:t>Autres ressources</w:t>
            </w:r>
          </w:p>
        </w:tc>
        <w:tc>
          <w:tcPr>
            <w:tcW w:w="13043" w:type="dxa"/>
            <w:gridSpan w:val="5"/>
            <w:shd w:val="clear" w:color="auto" w:fill="auto"/>
            <w:vAlign w:val="center"/>
          </w:tcPr>
          <w:p w14:paraId="4BEF9728" w14:textId="3F90A45D" w:rsidR="006E7CBA" w:rsidRPr="003058F5" w:rsidRDefault="006E7CBA" w:rsidP="00393227">
            <w:pPr>
              <w:rPr>
                <w:rStyle w:val="Lienhypertexte"/>
                <w:color w:val="000000" w:themeColor="text1"/>
              </w:rPr>
            </w:pPr>
            <w:r>
              <w:rPr>
                <w:rStyle w:val="Lienhypertexte"/>
                <w:color w:val="000000" w:themeColor="text1"/>
                <w:sz w:val="16"/>
              </w:rPr>
              <w:t xml:space="preserve">Pour de plus amples informations, veuillez consulter le document des PRI intitulé </w:t>
            </w:r>
            <w:hyperlink r:id="rId63" w:history="1">
              <w:proofErr w:type="spellStart"/>
              <w:r>
                <w:rPr>
                  <w:rStyle w:val="Lienhypertexte"/>
                  <w:sz w:val="16"/>
                </w:rPr>
                <w:t>Technical</w:t>
              </w:r>
              <w:proofErr w:type="spellEnd"/>
              <w:r>
                <w:rPr>
                  <w:rStyle w:val="Lienhypertexte"/>
                  <w:sz w:val="16"/>
                </w:rPr>
                <w:t xml:space="preserve"> </w:t>
              </w:r>
              <w:proofErr w:type="spellStart"/>
              <w:r>
                <w:rPr>
                  <w:rStyle w:val="Lienhypertexte"/>
                  <w:sz w:val="16"/>
                </w:rPr>
                <w:t>guide:</w:t>
              </w:r>
            </w:hyperlink>
            <w:hyperlink r:id="rId64" w:history="1">
              <w:r>
                <w:rPr>
                  <w:rStyle w:val="Lienhypertexte"/>
                  <w:sz w:val="16"/>
                </w:rPr>
                <w:t>ESG</w:t>
              </w:r>
              <w:proofErr w:type="spellEnd"/>
              <w:r>
                <w:rPr>
                  <w:rStyle w:val="Lienhypertexte"/>
                  <w:sz w:val="16"/>
                </w:rPr>
                <w:t xml:space="preserve"> incorporation in </w:t>
              </w:r>
              <w:proofErr w:type="spellStart"/>
              <w:r>
                <w:rPr>
                  <w:rStyle w:val="Lienhypertexte"/>
                  <w:sz w:val="16"/>
                </w:rPr>
                <w:t>hedge</w:t>
              </w:r>
              <w:proofErr w:type="spellEnd"/>
              <w:r>
                <w:rPr>
                  <w:rStyle w:val="Lienhypertexte"/>
                  <w:sz w:val="16"/>
                </w:rPr>
                <w:t xml:space="preserve"> </w:t>
              </w:r>
              <w:proofErr w:type="spellStart"/>
              <w:r>
                <w:rPr>
                  <w:rStyle w:val="Lienhypertexte"/>
                  <w:sz w:val="16"/>
                </w:rPr>
                <w:t>funds</w:t>
              </w:r>
              <w:proofErr w:type="spellEnd"/>
              <w:r>
                <w:rPr>
                  <w:rStyle w:val="Lienhypertexte"/>
                  <w:sz w:val="16"/>
                </w:rPr>
                <w:t xml:space="preserve"> (Guide technique</w:t>
              </w:r>
              <w:r w:rsidR="00767929">
                <w:rPr>
                  <w:rStyle w:val="Lienhypertexte"/>
                  <w:sz w:val="16"/>
                </w:rPr>
                <w:t> :</w:t>
              </w:r>
              <w:r>
                <w:rPr>
                  <w:rStyle w:val="Lienhypertexte"/>
                  <w:sz w:val="16"/>
                </w:rPr>
                <w:t xml:space="preserve"> la prise en compte des critères ESG dans les fonds spéculatifs (</w:t>
              </w:r>
              <w:proofErr w:type="spellStart"/>
              <w:r>
                <w:rPr>
                  <w:rStyle w:val="Lienhypertexte"/>
                  <w:i/>
                  <w:iCs/>
                  <w:sz w:val="16"/>
                </w:rPr>
                <w:t>hedge</w:t>
              </w:r>
              <w:proofErr w:type="spellEnd"/>
              <w:r>
                <w:rPr>
                  <w:rStyle w:val="Lienhypertexte"/>
                  <w:i/>
                  <w:iCs/>
                  <w:sz w:val="16"/>
                </w:rPr>
                <w:t xml:space="preserve"> </w:t>
              </w:r>
              <w:proofErr w:type="spellStart"/>
              <w:r>
                <w:rPr>
                  <w:rStyle w:val="Lienhypertexte"/>
                  <w:i/>
                  <w:iCs/>
                  <w:sz w:val="16"/>
                </w:rPr>
                <w:t>funds</w:t>
              </w:r>
              <w:proofErr w:type="spellEnd"/>
              <w:r>
                <w:rPr>
                  <w:rStyle w:val="Lienhypertexte"/>
                  <w:sz w:val="16"/>
                </w:rPr>
                <w:t>))</w:t>
              </w:r>
            </w:hyperlink>
            <w:r>
              <w:rPr>
                <w:rStyle w:val="Lienhypertexte"/>
                <w:color w:val="auto"/>
                <w:sz w:val="16"/>
              </w:rPr>
              <w:t>,</w:t>
            </w:r>
            <w:r>
              <w:rPr>
                <w:rStyle w:val="Lienhypertexte"/>
                <w:color w:val="000000" w:themeColor="text1"/>
                <w:sz w:val="16"/>
              </w:rPr>
              <w:t xml:space="preserve"> qui fournit un cadre aux sociétés de gestion pour prendre en compte les critères ESG majeurs dans les stratégies relatives aux fonds spéculatifs.</w:t>
            </w:r>
          </w:p>
        </w:tc>
      </w:tr>
      <w:tr w:rsidR="006E7CBA" w:rsidRPr="003058F5" w14:paraId="3902FFB1" w14:textId="77777777" w:rsidTr="00393227">
        <w:trPr>
          <w:trHeight w:val="300"/>
        </w:trPr>
        <w:tc>
          <w:tcPr>
            <w:tcW w:w="14884" w:type="dxa"/>
            <w:gridSpan w:val="6"/>
            <w:shd w:val="clear" w:color="auto" w:fill="0070C0"/>
            <w:vAlign w:val="center"/>
          </w:tcPr>
          <w:p w14:paraId="65884D1B" w14:textId="77777777" w:rsidR="006E7CBA" w:rsidRPr="003058F5" w:rsidRDefault="006E7CBA" w:rsidP="00393227">
            <w:pPr>
              <w:rPr>
                <w:color w:val="FFFFFF" w:themeColor="background1"/>
                <w:sz w:val="16"/>
                <w:szCs w:val="16"/>
              </w:rPr>
            </w:pPr>
            <w:r>
              <w:rPr>
                <w:b/>
                <w:color w:val="FFFFFF" w:themeColor="background1"/>
                <w:sz w:val="18"/>
              </w:rPr>
              <w:t>Logique</w:t>
            </w:r>
          </w:p>
        </w:tc>
      </w:tr>
      <w:tr w:rsidR="006E7CBA" w:rsidRPr="003058F5" w14:paraId="2A756E44" w14:textId="77777777" w:rsidTr="00393227">
        <w:trPr>
          <w:trHeight w:val="300"/>
        </w:trPr>
        <w:tc>
          <w:tcPr>
            <w:tcW w:w="1841" w:type="dxa"/>
            <w:shd w:val="clear" w:color="auto" w:fill="auto"/>
            <w:vAlign w:val="center"/>
          </w:tcPr>
          <w:p w14:paraId="4317FEF2" w14:textId="77777777" w:rsidR="006E7CBA" w:rsidRPr="003058F5" w:rsidRDefault="006E7CBA" w:rsidP="00393227">
            <w:pPr>
              <w:rPr>
                <w:b/>
                <w:bCs/>
                <w:sz w:val="16"/>
                <w:szCs w:val="16"/>
              </w:rPr>
            </w:pPr>
            <w:r>
              <w:rPr>
                <w:b/>
                <w:sz w:val="16"/>
              </w:rPr>
              <w:t>Lien avec</w:t>
            </w:r>
          </w:p>
        </w:tc>
        <w:tc>
          <w:tcPr>
            <w:tcW w:w="13043" w:type="dxa"/>
            <w:gridSpan w:val="5"/>
            <w:shd w:val="clear" w:color="auto" w:fill="auto"/>
            <w:vAlign w:val="center"/>
          </w:tcPr>
          <w:p w14:paraId="0A9C54FF" w14:textId="65C307F4" w:rsidR="006E7CBA" w:rsidRPr="003058F5" w:rsidRDefault="006E7CBA" w:rsidP="00393227">
            <w:pPr>
              <w:rPr>
                <w:color w:val="000000" w:themeColor="text1"/>
                <w:sz w:val="16"/>
                <w:szCs w:val="16"/>
              </w:rPr>
            </w:pPr>
            <w:r>
              <w:rPr>
                <w:color w:val="000000" w:themeColor="text1"/>
                <w:sz w:val="16"/>
              </w:rPr>
              <w:t>[OO 21]</w:t>
            </w:r>
          </w:p>
        </w:tc>
      </w:tr>
      <w:tr w:rsidR="006E7CBA" w:rsidRPr="003058F5" w14:paraId="0CFEAAA7" w14:textId="77777777" w:rsidTr="00393227">
        <w:trPr>
          <w:trHeight w:val="300"/>
        </w:trPr>
        <w:tc>
          <w:tcPr>
            <w:tcW w:w="1841" w:type="dxa"/>
            <w:shd w:val="clear" w:color="auto" w:fill="auto"/>
            <w:vAlign w:val="center"/>
          </w:tcPr>
          <w:p w14:paraId="7613DFF2" w14:textId="77777777" w:rsidR="006E7CBA" w:rsidRPr="003058F5" w:rsidRDefault="006E7CBA" w:rsidP="00393227">
            <w:pPr>
              <w:rPr>
                <w:b/>
                <w:bCs/>
                <w:sz w:val="16"/>
                <w:szCs w:val="16"/>
              </w:rPr>
            </w:pPr>
            <w:r>
              <w:rPr>
                <w:b/>
                <w:sz w:val="16"/>
              </w:rPr>
              <w:t>Accès à</w:t>
            </w:r>
          </w:p>
        </w:tc>
        <w:tc>
          <w:tcPr>
            <w:tcW w:w="13043" w:type="dxa"/>
            <w:gridSpan w:val="5"/>
            <w:shd w:val="clear" w:color="auto" w:fill="auto"/>
            <w:vAlign w:val="center"/>
          </w:tcPr>
          <w:p w14:paraId="73833E6C" w14:textId="77777777" w:rsidR="006E7CBA" w:rsidRPr="003058F5" w:rsidRDefault="006E7CBA" w:rsidP="00393227">
            <w:pPr>
              <w:rPr>
                <w:color w:val="000000" w:themeColor="text1"/>
                <w:sz w:val="16"/>
                <w:szCs w:val="16"/>
              </w:rPr>
            </w:pPr>
            <w:r>
              <w:rPr>
                <w:color w:val="000000" w:themeColor="text1"/>
                <w:sz w:val="16"/>
              </w:rPr>
              <w:t>Sans objet</w:t>
            </w:r>
          </w:p>
        </w:tc>
      </w:tr>
      <w:tr w:rsidR="006E7CBA" w:rsidRPr="003058F5" w14:paraId="1CBC016E" w14:textId="77777777" w:rsidTr="00393227">
        <w:trPr>
          <w:trHeight w:val="300"/>
        </w:trPr>
        <w:tc>
          <w:tcPr>
            <w:tcW w:w="14884" w:type="dxa"/>
            <w:gridSpan w:val="6"/>
            <w:shd w:val="clear" w:color="auto" w:fill="0070C0"/>
            <w:vAlign w:val="center"/>
          </w:tcPr>
          <w:p w14:paraId="20E56E0F" w14:textId="77777777" w:rsidR="006E7CBA" w:rsidRPr="003058F5" w:rsidRDefault="006E7CBA" w:rsidP="00393227">
            <w:pPr>
              <w:rPr>
                <w:rFonts w:eastAsia="Times New Roman" w:cs="Arial"/>
                <w:b/>
                <w:bCs/>
                <w:color w:val="FFFFFF" w:themeColor="background1"/>
                <w:sz w:val="18"/>
                <w:szCs w:val="18"/>
              </w:rPr>
            </w:pPr>
            <w:r>
              <w:rPr>
                <w:b/>
                <w:color w:val="FFFFFF" w:themeColor="background1"/>
                <w:sz w:val="18"/>
              </w:rPr>
              <w:t>Évaluation</w:t>
            </w:r>
          </w:p>
        </w:tc>
      </w:tr>
      <w:tr w:rsidR="006E7CBA" w:rsidRPr="003058F5" w14:paraId="6619AA33" w14:textId="77777777" w:rsidTr="00393227">
        <w:trPr>
          <w:trHeight w:val="354"/>
        </w:trPr>
        <w:tc>
          <w:tcPr>
            <w:tcW w:w="14884" w:type="dxa"/>
            <w:gridSpan w:val="6"/>
            <w:shd w:val="clear" w:color="auto" w:fill="auto"/>
            <w:vAlign w:val="center"/>
          </w:tcPr>
          <w:p w14:paraId="738F937A" w14:textId="77777777" w:rsidR="006E7CBA" w:rsidRPr="003058F5" w:rsidRDefault="006E7CBA" w:rsidP="00393227">
            <w:pPr>
              <w:rPr>
                <w:bCs/>
                <w:sz w:val="16"/>
                <w:szCs w:val="16"/>
              </w:rPr>
            </w:pPr>
            <w:r>
              <w:rPr>
                <w:color w:val="000000" w:themeColor="text1"/>
                <w:sz w:val="16"/>
              </w:rPr>
              <w:t>Non soumis à évaluation</w:t>
            </w:r>
          </w:p>
        </w:tc>
      </w:tr>
    </w:tbl>
    <w:p w14:paraId="3B15C3E4" w14:textId="7907B3CF" w:rsidR="00870DC4" w:rsidRPr="003058F5" w:rsidRDefault="00870DC4">
      <w:pPr>
        <w:spacing w:after="160" w:line="259" w:lineRule="auto"/>
        <w:rPr>
          <w:sz w:val="16"/>
          <w:szCs w:val="16"/>
        </w:rPr>
      </w:pPr>
      <w:r>
        <w:br w:type="page"/>
      </w:r>
    </w:p>
    <w:p w14:paraId="2F19491F" w14:textId="2AFE6831" w:rsidR="005F1AE8" w:rsidRPr="003058F5" w:rsidRDefault="00763CDD" w:rsidP="00870DC4">
      <w:pPr>
        <w:pStyle w:val="Titre1"/>
      </w:pPr>
      <w:bookmarkStart w:id="21" w:name="_Toc128064113"/>
      <w:r>
        <w:lastRenderedPageBreak/>
        <w:t>post-</w:t>
      </w:r>
      <w:r w:rsidR="00870DC4">
        <w:t>investissement</w:t>
      </w:r>
      <w:bookmarkEnd w:id="21"/>
    </w:p>
    <w:p w14:paraId="31A8316C" w14:textId="1CBEF413" w:rsidR="00D93C03" w:rsidRPr="003058F5" w:rsidRDefault="00D93C03" w:rsidP="00D93C03">
      <w:pPr>
        <w:pStyle w:val="Titre2"/>
        <w:tabs>
          <w:tab w:val="left" w:pos="12758"/>
        </w:tabs>
        <w:rPr>
          <w:rFonts w:eastAsia="MS PGothic" w:cs="Times New Roman"/>
          <w:caps w:val="0"/>
          <w:color w:val="auto"/>
          <w:sz w:val="20"/>
          <w:szCs w:val="20"/>
        </w:rPr>
      </w:pPr>
      <w:bookmarkStart w:id="22" w:name="_Toc128064114"/>
      <w:r>
        <w:t>Gestion des risques ESG [HF 8, HF 9]</w:t>
      </w:r>
      <w:bookmarkEnd w:id="22"/>
    </w:p>
    <w:tbl>
      <w:tblPr>
        <w:tblW w:w="14876"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Layout w:type="fixed"/>
        <w:tblCellMar>
          <w:top w:w="57" w:type="dxa"/>
          <w:left w:w="113" w:type="dxa"/>
          <w:bottom w:w="57" w:type="dxa"/>
          <w:right w:w="113" w:type="dxa"/>
        </w:tblCellMar>
        <w:tblLook w:val="04A0" w:firstRow="1" w:lastRow="0" w:firstColumn="1" w:lastColumn="0" w:noHBand="0" w:noVBand="1"/>
      </w:tblPr>
      <w:tblGrid>
        <w:gridCol w:w="6"/>
        <w:gridCol w:w="1840"/>
        <w:gridCol w:w="1557"/>
        <w:gridCol w:w="2830"/>
        <w:gridCol w:w="2123"/>
        <w:gridCol w:w="2548"/>
        <w:gridCol w:w="1981"/>
        <w:gridCol w:w="1975"/>
        <w:gridCol w:w="8"/>
        <w:gridCol w:w="8"/>
      </w:tblGrid>
      <w:tr w:rsidR="007E7538" w:rsidRPr="003058F5" w14:paraId="5161FF34" w14:textId="77777777" w:rsidTr="008556BC">
        <w:trPr>
          <w:gridBefore w:val="1"/>
          <w:wBefore w:w="6" w:type="dxa"/>
          <w:trHeight w:val="367"/>
        </w:trPr>
        <w:tc>
          <w:tcPr>
            <w:tcW w:w="1840" w:type="dxa"/>
            <w:vMerge w:val="restart"/>
            <w:shd w:val="clear" w:color="auto" w:fill="DFF5F9"/>
            <w:vAlign w:val="center"/>
            <w:hideMark/>
          </w:tcPr>
          <w:p w14:paraId="1C7CD507" w14:textId="77777777" w:rsidR="007E7538" w:rsidRPr="003058F5" w:rsidRDefault="007E7538" w:rsidP="00082BCE">
            <w:pPr>
              <w:spacing w:line="240" w:lineRule="auto"/>
              <w:jc w:val="center"/>
              <w:textAlignment w:val="baseline"/>
              <w:rPr>
                <w:rFonts w:eastAsia="Times New Roman" w:cs="Arial"/>
                <w:b/>
                <w:sz w:val="14"/>
                <w:szCs w:val="14"/>
              </w:rPr>
            </w:pPr>
            <w:r>
              <w:rPr>
                <w:b/>
                <w:sz w:val="14"/>
              </w:rPr>
              <w:t>Identifiant de l’indicateur</w:t>
            </w:r>
          </w:p>
          <w:p w14:paraId="7C052A62" w14:textId="77777777" w:rsidR="007E7538" w:rsidRPr="003058F5" w:rsidRDefault="007E7538" w:rsidP="00082BCE">
            <w:pPr>
              <w:spacing w:line="240" w:lineRule="auto"/>
              <w:jc w:val="center"/>
              <w:textAlignment w:val="baseline"/>
              <w:rPr>
                <w:rFonts w:eastAsia="Times New Roman" w:cs="Arial"/>
                <w:b/>
                <w:sz w:val="14"/>
                <w:szCs w:val="14"/>
                <w:lang w:eastAsia="en-GB"/>
              </w:rPr>
            </w:pPr>
          </w:p>
          <w:p w14:paraId="6D37DE52" w14:textId="34CD38A9" w:rsidR="007E7538" w:rsidRPr="003058F5" w:rsidRDefault="007E7538" w:rsidP="00082BCE">
            <w:pPr>
              <w:pStyle w:val="Indicatorsubsection"/>
              <w:rPr>
                <w:sz w:val="18"/>
                <w:szCs w:val="18"/>
              </w:rPr>
            </w:pPr>
            <w:bookmarkStart w:id="23" w:name="_Toc128064115"/>
            <w:r>
              <w:t>HF 8</w:t>
            </w:r>
            <w:bookmarkEnd w:id="23"/>
          </w:p>
        </w:tc>
        <w:tc>
          <w:tcPr>
            <w:tcW w:w="1557" w:type="dxa"/>
            <w:shd w:val="clear" w:color="auto" w:fill="DFF5F9"/>
            <w:vAlign w:val="center"/>
            <w:hideMark/>
          </w:tcPr>
          <w:p w14:paraId="1358DF36" w14:textId="03F811D4" w:rsidR="007E7538" w:rsidRPr="003058F5" w:rsidRDefault="00F61763" w:rsidP="00082BCE">
            <w:pPr>
              <w:spacing w:line="240" w:lineRule="auto"/>
              <w:textAlignment w:val="baseline"/>
              <w:rPr>
                <w:rFonts w:eastAsia="Times New Roman" w:cs="Arial"/>
                <w:sz w:val="14"/>
                <w:szCs w:val="14"/>
              </w:rPr>
            </w:pPr>
            <w:r>
              <w:rPr>
                <w:b/>
                <w:sz w:val="14"/>
              </w:rPr>
              <w:t>Lien avec</w:t>
            </w:r>
            <w:r w:rsidR="000666BC">
              <w:rPr>
                <w:b/>
                <w:sz w:val="14"/>
              </w:rPr>
              <w:t> </w:t>
            </w:r>
            <w:r>
              <w:rPr>
                <w:b/>
                <w:sz w:val="14"/>
              </w:rPr>
              <w:t xml:space="preserve">: </w:t>
            </w:r>
          </w:p>
        </w:tc>
        <w:tc>
          <w:tcPr>
            <w:tcW w:w="2830" w:type="dxa"/>
            <w:shd w:val="clear" w:color="auto" w:fill="DFF5F9"/>
            <w:vAlign w:val="center"/>
          </w:tcPr>
          <w:p w14:paraId="5377D1FD" w14:textId="061500CC" w:rsidR="007E7538" w:rsidRPr="003058F5" w:rsidRDefault="00740665" w:rsidP="00082BCE">
            <w:pPr>
              <w:spacing w:line="240" w:lineRule="auto"/>
              <w:textAlignment w:val="baseline"/>
              <w:rPr>
                <w:rFonts w:eastAsia="Times New Roman" w:cs="Arial"/>
                <w:sz w:val="14"/>
                <w:szCs w:val="14"/>
              </w:rPr>
            </w:pPr>
            <w:r>
              <w:rPr>
                <w:b/>
                <w:sz w:val="22"/>
              </w:rPr>
              <w:t>OO 21</w:t>
            </w:r>
          </w:p>
        </w:tc>
        <w:tc>
          <w:tcPr>
            <w:tcW w:w="4671" w:type="dxa"/>
            <w:gridSpan w:val="2"/>
            <w:vMerge w:val="restart"/>
            <w:shd w:val="clear" w:color="auto" w:fill="DFF5F9"/>
            <w:vAlign w:val="center"/>
          </w:tcPr>
          <w:p w14:paraId="36BFB9AB" w14:textId="77777777" w:rsidR="007E7538" w:rsidRPr="003058F5" w:rsidRDefault="007E7538" w:rsidP="00082BCE">
            <w:pPr>
              <w:spacing w:line="240" w:lineRule="auto"/>
              <w:jc w:val="center"/>
              <w:textAlignment w:val="baseline"/>
              <w:rPr>
                <w:rFonts w:eastAsia="Times New Roman" w:cs="Arial"/>
                <w:sz w:val="14"/>
                <w:szCs w:val="14"/>
              </w:rPr>
            </w:pPr>
            <w:r>
              <w:rPr>
                <w:b/>
                <w:sz w:val="14"/>
              </w:rPr>
              <w:t>Sous-section</w:t>
            </w:r>
            <w:r>
              <w:rPr>
                <w:sz w:val="14"/>
              </w:rPr>
              <w:t> </w:t>
            </w:r>
          </w:p>
          <w:p w14:paraId="74429807" w14:textId="77777777" w:rsidR="007E7538" w:rsidRPr="003058F5" w:rsidRDefault="007E7538" w:rsidP="00082BCE">
            <w:pPr>
              <w:spacing w:line="240" w:lineRule="auto"/>
              <w:jc w:val="center"/>
              <w:textAlignment w:val="baseline"/>
              <w:rPr>
                <w:rFonts w:eastAsia="Times New Roman" w:cs="Arial"/>
                <w:sz w:val="14"/>
                <w:szCs w:val="14"/>
                <w:lang w:eastAsia="en-GB"/>
              </w:rPr>
            </w:pPr>
          </w:p>
          <w:p w14:paraId="39CF4C9D" w14:textId="6665FDB6" w:rsidR="007E7538" w:rsidRPr="003058F5" w:rsidRDefault="007E7538" w:rsidP="00082BCE">
            <w:pPr>
              <w:jc w:val="center"/>
              <w:rPr>
                <w:sz w:val="18"/>
                <w:szCs w:val="18"/>
              </w:rPr>
            </w:pPr>
            <w:r>
              <w:rPr>
                <w:b/>
                <w:sz w:val="22"/>
              </w:rPr>
              <w:t>Gestion des risques ESG</w:t>
            </w:r>
          </w:p>
        </w:tc>
        <w:tc>
          <w:tcPr>
            <w:tcW w:w="1981" w:type="dxa"/>
            <w:vMerge w:val="restart"/>
            <w:shd w:val="clear" w:color="auto" w:fill="DFF5F9"/>
            <w:vAlign w:val="center"/>
            <w:hideMark/>
          </w:tcPr>
          <w:p w14:paraId="60BAF77A" w14:textId="77777777" w:rsidR="007E7538" w:rsidRPr="003058F5" w:rsidRDefault="007E7538" w:rsidP="00082BCE">
            <w:pPr>
              <w:spacing w:line="240" w:lineRule="auto"/>
              <w:jc w:val="center"/>
              <w:textAlignment w:val="baseline"/>
              <w:rPr>
                <w:rFonts w:eastAsia="Times New Roman" w:cs="Arial"/>
                <w:b/>
                <w:bCs/>
                <w:sz w:val="14"/>
                <w:szCs w:val="14"/>
              </w:rPr>
            </w:pPr>
            <w:r>
              <w:rPr>
                <w:b/>
                <w:sz w:val="14"/>
              </w:rPr>
              <w:t>Principe des PRI</w:t>
            </w:r>
          </w:p>
          <w:p w14:paraId="7FB4F85B" w14:textId="77777777" w:rsidR="007E7538" w:rsidRPr="003058F5" w:rsidRDefault="007E7538" w:rsidP="00082BCE">
            <w:pPr>
              <w:spacing w:line="240" w:lineRule="auto"/>
              <w:jc w:val="center"/>
              <w:textAlignment w:val="baseline"/>
              <w:rPr>
                <w:rFonts w:eastAsia="Times New Roman" w:cs="Arial"/>
                <w:b/>
                <w:bCs/>
                <w:sz w:val="14"/>
                <w:szCs w:val="14"/>
                <w:lang w:eastAsia="en-GB"/>
              </w:rPr>
            </w:pPr>
          </w:p>
          <w:p w14:paraId="5CA8B09F" w14:textId="3738D395" w:rsidR="007E7538" w:rsidRPr="003058F5" w:rsidRDefault="007E7538" w:rsidP="00082BCE">
            <w:pPr>
              <w:spacing w:line="240" w:lineRule="auto"/>
              <w:jc w:val="center"/>
              <w:textAlignment w:val="baseline"/>
              <w:rPr>
                <w:rFonts w:eastAsia="Times New Roman" w:cs="Arial"/>
                <w:sz w:val="18"/>
                <w:szCs w:val="18"/>
              </w:rPr>
            </w:pPr>
            <w:r>
              <w:rPr>
                <w:b/>
                <w:sz w:val="22"/>
              </w:rPr>
              <w:t>1</w:t>
            </w:r>
          </w:p>
        </w:tc>
        <w:tc>
          <w:tcPr>
            <w:tcW w:w="1991" w:type="dxa"/>
            <w:gridSpan w:val="3"/>
            <w:vMerge w:val="restart"/>
            <w:shd w:val="clear" w:color="auto" w:fill="00B0F0"/>
            <w:tcMar>
              <w:top w:w="113" w:type="dxa"/>
              <w:left w:w="113" w:type="dxa"/>
              <w:bottom w:w="113" w:type="dxa"/>
              <w:right w:w="113" w:type="dxa"/>
            </w:tcMar>
            <w:vAlign w:val="center"/>
            <w:hideMark/>
          </w:tcPr>
          <w:p w14:paraId="4E8C9D73" w14:textId="77777777" w:rsidR="007E7538" w:rsidRPr="003058F5" w:rsidRDefault="007E7538" w:rsidP="00082BCE">
            <w:pPr>
              <w:spacing w:line="240" w:lineRule="auto"/>
              <w:jc w:val="center"/>
              <w:textAlignment w:val="baseline"/>
              <w:rPr>
                <w:rFonts w:eastAsia="Times New Roman" w:cs="Arial"/>
                <w:b/>
                <w:bCs/>
                <w:color w:val="FFFFFF" w:themeColor="background1"/>
                <w:sz w:val="14"/>
                <w:szCs w:val="14"/>
              </w:rPr>
            </w:pPr>
            <w:r>
              <w:rPr>
                <w:b/>
                <w:color w:val="FFFFFF" w:themeColor="background1"/>
                <w:sz w:val="14"/>
              </w:rPr>
              <w:t>Type d'indicateur</w:t>
            </w:r>
          </w:p>
          <w:p w14:paraId="03812EE1" w14:textId="77777777" w:rsidR="007E7538" w:rsidRPr="003058F5" w:rsidRDefault="007E7538" w:rsidP="00082BCE">
            <w:pPr>
              <w:spacing w:line="240" w:lineRule="auto"/>
              <w:jc w:val="center"/>
              <w:textAlignment w:val="baseline"/>
              <w:rPr>
                <w:rFonts w:eastAsia="Times New Roman" w:cs="Arial"/>
                <w:b/>
                <w:bCs/>
                <w:color w:val="FFFFFF" w:themeColor="background1"/>
                <w:sz w:val="14"/>
                <w:szCs w:val="14"/>
                <w:lang w:eastAsia="en-GB"/>
              </w:rPr>
            </w:pPr>
          </w:p>
          <w:p w14:paraId="0DF02903" w14:textId="77777777" w:rsidR="007E7538" w:rsidRPr="003058F5" w:rsidRDefault="007E7538" w:rsidP="00082BCE">
            <w:pPr>
              <w:autoSpaceDE w:val="0"/>
              <w:autoSpaceDN w:val="0"/>
              <w:adjustRightInd w:val="0"/>
              <w:spacing w:line="240" w:lineRule="auto"/>
              <w:jc w:val="center"/>
              <w:rPr>
                <w:rFonts w:eastAsia="Times New Roman" w:cs="Arial"/>
                <w:color w:val="FFFFFF" w:themeColor="background1"/>
                <w:sz w:val="32"/>
                <w:szCs w:val="32"/>
              </w:rPr>
            </w:pPr>
            <w:r>
              <w:rPr>
                <w:b/>
                <w:color w:val="FFFFFF" w:themeColor="background1"/>
                <w:sz w:val="32"/>
              </w:rPr>
              <w:t>CORE</w:t>
            </w:r>
          </w:p>
        </w:tc>
      </w:tr>
      <w:tr w:rsidR="007E7538" w:rsidRPr="003058F5" w14:paraId="5107B442" w14:textId="77777777" w:rsidTr="008556BC">
        <w:trPr>
          <w:gridBefore w:val="1"/>
          <w:wBefore w:w="6" w:type="dxa"/>
          <w:trHeight w:val="367"/>
        </w:trPr>
        <w:tc>
          <w:tcPr>
            <w:tcW w:w="1840" w:type="dxa"/>
            <w:vMerge/>
            <w:vAlign w:val="center"/>
          </w:tcPr>
          <w:p w14:paraId="378840B0" w14:textId="77777777" w:rsidR="007E7538" w:rsidRPr="003058F5" w:rsidRDefault="007E7538" w:rsidP="00082BCE">
            <w:pPr>
              <w:spacing w:line="240" w:lineRule="auto"/>
              <w:jc w:val="center"/>
              <w:textAlignment w:val="baseline"/>
              <w:rPr>
                <w:rFonts w:eastAsia="Times New Roman" w:cs="Arial"/>
                <w:b/>
                <w:sz w:val="14"/>
                <w:szCs w:val="14"/>
                <w:lang w:eastAsia="en-GB"/>
              </w:rPr>
            </w:pPr>
          </w:p>
        </w:tc>
        <w:tc>
          <w:tcPr>
            <w:tcW w:w="1557" w:type="dxa"/>
            <w:shd w:val="clear" w:color="auto" w:fill="DFF5F9"/>
            <w:vAlign w:val="center"/>
          </w:tcPr>
          <w:p w14:paraId="01266EC4" w14:textId="41B44F8A" w:rsidR="007E7538" w:rsidRPr="003058F5" w:rsidRDefault="007E7538" w:rsidP="00082BCE">
            <w:pPr>
              <w:spacing w:line="240" w:lineRule="auto"/>
              <w:textAlignment w:val="baseline"/>
              <w:rPr>
                <w:rFonts w:eastAsia="Times New Roman" w:cs="Arial"/>
                <w:b/>
                <w:sz w:val="14"/>
                <w:szCs w:val="14"/>
              </w:rPr>
            </w:pPr>
            <w:r>
              <w:rPr>
                <w:b/>
                <w:sz w:val="14"/>
              </w:rPr>
              <w:t>Accès à</w:t>
            </w:r>
            <w:r w:rsidR="00767929">
              <w:rPr>
                <w:b/>
                <w:sz w:val="14"/>
              </w:rPr>
              <w:t> :</w:t>
            </w:r>
          </w:p>
        </w:tc>
        <w:tc>
          <w:tcPr>
            <w:tcW w:w="2830" w:type="dxa"/>
            <w:shd w:val="clear" w:color="auto" w:fill="DFF5F9"/>
            <w:vAlign w:val="center"/>
          </w:tcPr>
          <w:p w14:paraId="3A740BFA" w14:textId="76FD61AE" w:rsidR="007E7538" w:rsidRPr="003058F5" w:rsidRDefault="007E7538" w:rsidP="00082BCE">
            <w:pPr>
              <w:spacing w:line="240" w:lineRule="auto"/>
              <w:textAlignment w:val="baseline"/>
              <w:rPr>
                <w:rFonts w:eastAsia="Times New Roman" w:cs="Arial"/>
                <w:b/>
                <w:sz w:val="14"/>
                <w:szCs w:val="14"/>
              </w:rPr>
            </w:pPr>
            <w:r>
              <w:rPr>
                <w:b/>
                <w:sz w:val="22"/>
              </w:rPr>
              <w:t>Sans objet</w:t>
            </w:r>
          </w:p>
        </w:tc>
        <w:tc>
          <w:tcPr>
            <w:tcW w:w="4671" w:type="dxa"/>
            <w:gridSpan w:val="2"/>
            <w:vMerge/>
            <w:vAlign w:val="center"/>
          </w:tcPr>
          <w:p w14:paraId="10FC4732" w14:textId="77777777" w:rsidR="007E7538" w:rsidRPr="003058F5" w:rsidRDefault="007E7538" w:rsidP="00082BCE">
            <w:pPr>
              <w:spacing w:line="240" w:lineRule="auto"/>
              <w:jc w:val="center"/>
              <w:textAlignment w:val="baseline"/>
              <w:rPr>
                <w:rFonts w:eastAsia="Times New Roman" w:cs="Arial"/>
                <w:b/>
                <w:sz w:val="14"/>
                <w:szCs w:val="14"/>
                <w:lang w:eastAsia="en-GB"/>
              </w:rPr>
            </w:pPr>
          </w:p>
        </w:tc>
        <w:tc>
          <w:tcPr>
            <w:tcW w:w="1981" w:type="dxa"/>
            <w:vMerge/>
            <w:vAlign w:val="center"/>
          </w:tcPr>
          <w:p w14:paraId="39441225" w14:textId="77777777" w:rsidR="007E7538" w:rsidRPr="003058F5" w:rsidRDefault="007E7538" w:rsidP="00082BCE">
            <w:pPr>
              <w:spacing w:line="240" w:lineRule="auto"/>
              <w:jc w:val="center"/>
              <w:textAlignment w:val="baseline"/>
              <w:rPr>
                <w:rFonts w:eastAsia="Times New Roman" w:cs="Arial"/>
                <w:b/>
                <w:bCs/>
                <w:sz w:val="14"/>
                <w:szCs w:val="14"/>
                <w:lang w:eastAsia="en-GB"/>
              </w:rPr>
            </w:pPr>
          </w:p>
        </w:tc>
        <w:tc>
          <w:tcPr>
            <w:tcW w:w="1990" w:type="dxa"/>
            <w:gridSpan w:val="3"/>
            <w:vMerge/>
            <w:tcMar>
              <w:top w:w="113" w:type="dxa"/>
              <w:left w:w="113" w:type="dxa"/>
              <w:bottom w:w="113" w:type="dxa"/>
              <w:right w:w="113" w:type="dxa"/>
            </w:tcMar>
            <w:vAlign w:val="center"/>
          </w:tcPr>
          <w:p w14:paraId="0378EC23" w14:textId="77777777" w:rsidR="007E7538" w:rsidRPr="003058F5" w:rsidRDefault="007E7538" w:rsidP="00082BCE">
            <w:pPr>
              <w:spacing w:line="240" w:lineRule="auto"/>
              <w:jc w:val="center"/>
              <w:textAlignment w:val="baseline"/>
              <w:rPr>
                <w:rFonts w:eastAsia="Times New Roman" w:cs="Arial"/>
                <w:b/>
                <w:bCs/>
                <w:color w:val="FFFFFF" w:themeColor="background1"/>
                <w:sz w:val="14"/>
                <w:szCs w:val="14"/>
                <w:lang w:eastAsia="en-GB"/>
              </w:rPr>
            </w:pPr>
          </w:p>
        </w:tc>
      </w:tr>
      <w:tr w:rsidR="00D93C03" w:rsidRPr="003058F5" w14:paraId="704CFF7D" w14:textId="77777777" w:rsidTr="00F15919">
        <w:trPr>
          <w:gridAfter w:val="2"/>
          <w:wAfter w:w="16" w:type="dxa"/>
          <w:trHeight w:val="567"/>
        </w:trPr>
        <w:tc>
          <w:tcPr>
            <w:tcW w:w="14860" w:type="dxa"/>
            <w:gridSpan w:val="8"/>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2F9B3500" w14:textId="1391D3B0" w:rsidR="00D93C03" w:rsidRPr="003058F5" w:rsidRDefault="00D93C03" w:rsidP="00D93C03">
            <w:pPr>
              <w:spacing w:line="276" w:lineRule="auto"/>
              <w:textAlignment w:val="baseline"/>
              <w:rPr>
                <w:rFonts w:eastAsia="Times New Roman" w:cs="Arial"/>
              </w:rPr>
            </w:pPr>
            <w:r>
              <w:rPr>
                <w:b/>
              </w:rPr>
              <w:t xml:space="preserve">Quels processus de conformité avez-vous mis en place pour vous assurer que vos fonds spéculatifs soumis à des </w:t>
            </w:r>
            <w:hyperlink r:id="rId65" w:history="1">
              <w:r>
                <w:rPr>
                  <w:rStyle w:val="Lienhypertexte"/>
                  <w:b/>
                </w:rPr>
                <w:t>filtres d’exclusion négatifs</w:t>
              </w:r>
            </w:hyperlink>
            <w:r>
              <w:rPr>
                <w:b/>
              </w:rPr>
              <w:t xml:space="preserve"> respectent les critères de </w:t>
            </w:r>
            <w:hyperlink r:id="rId66" w:history="1">
              <w:r>
                <w:rPr>
                  <w:rStyle w:val="Lienhypertexte"/>
                  <w:b/>
                  <w:i/>
                  <w:iCs/>
                </w:rPr>
                <w:t>screening</w:t>
              </w:r>
            </w:hyperlink>
            <w:r w:rsidR="00767929">
              <w:t> ?</w:t>
            </w:r>
          </w:p>
        </w:tc>
      </w:tr>
      <w:tr w:rsidR="00D93C03" w:rsidRPr="003058F5" w14:paraId="6E3360AA" w14:textId="77777777" w:rsidTr="00F15919">
        <w:trPr>
          <w:gridAfter w:val="2"/>
          <w:wAfter w:w="16" w:type="dxa"/>
          <w:trHeight w:val="465"/>
        </w:trPr>
        <w:tc>
          <w:tcPr>
            <w:tcW w:w="14860" w:type="dxa"/>
            <w:gridSpan w:val="8"/>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770445F8" w14:textId="1892390C" w:rsidR="001D7109" w:rsidRPr="003058F5" w:rsidRDefault="001D7109" w:rsidP="00F15919">
            <w:pPr>
              <w:pStyle w:val="Paragraphedeliste"/>
              <w:numPr>
                <w:ilvl w:val="0"/>
                <w:numId w:val="77"/>
              </w:numPr>
              <w:spacing w:line="276" w:lineRule="auto"/>
              <w:ind w:left="360"/>
              <w:textAlignment w:val="baseline"/>
              <w:rPr>
                <w:rFonts w:eastAsia="Times New Roman" w:cs="Arial"/>
                <w:szCs w:val="16"/>
              </w:rPr>
            </w:pPr>
            <w:r>
              <w:t xml:space="preserve">(A) Nous disposons de procédures internes de conformité qui garantissent que tous les fonds ou portefeuilles soumis à un </w:t>
            </w:r>
            <w:r>
              <w:rPr>
                <w:i/>
                <w:iCs/>
              </w:rPr>
              <w:t>screening</w:t>
            </w:r>
            <w:r>
              <w:t xml:space="preserve"> d'exclusion négatif font l'objet de vérifications avant négociation</w:t>
            </w:r>
          </w:p>
          <w:p w14:paraId="79FD2710" w14:textId="3CA33EA7" w:rsidR="001D7109" w:rsidRPr="003058F5" w:rsidRDefault="001D7109" w:rsidP="00F15919">
            <w:pPr>
              <w:pStyle w:val="Paragraphedeliste"/>
              <w:numPr>
                <w:ilvl w:val="0"/>
                <w:numId w:val="77"/>
              </w:numPr>
              <w:spacing w:line="276" w:lineRule="auto"/>
              <w:ind w:left="360"/>
              <w:textAlignment w:val="baseline"/>
              <w:rPr>
                <w:rFonts w:eastAsia="Times New Roman" w:cs="Arial"/>
                <w:szCs w:val="16"/>
              </w:rPr>
            </w:pPr>
            <w:r>
              <w:t xml:space="preserve">(B) Nous disposons d’un comité externe qui supervise le processus de mise en œuvre du </w:t>
            </w:r>
            <w:r>
              <w:rPr>
                <w:i/>
                <w:iCs/>
              </w:rPr>
              <w:t>screening</w:t>
            </w:r>
            <w:r>
              <w:t xml:space="preserve"> pour tous nos fonds ou portefeuilles faisant l'objet d'un </w:t>
            </w:r>
            <w:r>
              <w:rPr>
                <w:i/>
                <w:iCs/>
              </w:rPr>
              <w:t>screening</w:t>
            </w:r>
            <w:r>
              <w:t xml:space="preserve"> d’exclusion négatif</w:t>
            </w:r>
          </w:p>
          <w:p w14:paraId="7FD08745" w14:textId="5DA75679" w:rsidR="001D7109" w:rsidRPr="003058F5" w:rsidRDefault="001D7109" w:rsidP="00F15919">
            <w:pPr>
              <w:pStyle w:val="Paragraphedeliste"/>
              <w:numPr>
                <w:ilvl w:val="0"/>
                <w:numId w:val="77"/>
              </w:numPr>
              <w:spacing w:line="276" w:lineRule="auto"/>
              <w:ind w:left="360"/>
              <w:textAlignment w:val="baseline"/>
              <w:rPr>
                <w:rFonts w:eastAsia="Times New Roman" w:cs="Arial"/>
                <w:szCs w:val="16"/>
              </w:rPr>
            </w:pPr>
            <w:r>
              <w:t xml:space="preserve">(C) Nous disposons d’un comité interne indépendant qui supervise le processus de mise en œuvre du </w:t>
            </w:r>
            <w:r>
              <w:rPr>
                <w:i/>
                <w:iCs/>
              </w:rPr>
              <w:t xml:space="preserve">screening </w:t>
            </w:r>
            <w:r>
              <w:t xml:space="preserve">pour tous nos fonds ou portefeuilles faisant l'objet d'un </w:t>
            </w:r>
            <w:r>
              <w:rPr>
                <w:i/>
                <w:iCs/>
              </w:rPr>
              <w:t>screening</w:t>
            </w:r>
            <w:r>
              <w:t xml:space="preserve"> d’exclusion négatif</w:t>
            </w:r>
          </w:p>
          <w:p w14:paraId="53B86FD0" w14:textId="77777777" w:rsidR="00067910" w:rsidRPr="003058F5" w:rsidRDefault="001D7109" w:rsidP="00F15919">
            <w:pPr>
              <w:pStyle w:val="Paragraphedeliste"/>
              <w:numPr>
                <w:ilvl w:val="0"/>
                <w:numId w:val="65"/>
              </w:numPr>
              <w:spacing w:line="276" w:lineRule="auto"/>
              <w:ind w:left="360"/>
              <w:textAlignment w:val="baseline"/>
              <w:rPr>
                <w:rFonts w:eastAsia="Times New Roman" w:cs="Arial"/>
                <w:szCs w:val="16"/>
              </w:rPr>
            </w:pPr>
            <w:r>
              <w:t>(D) Nous n'avons pas mis en place de processus de conformité visant à garantir que nous respectons les filtres d'exclusion négatifs déclarés</w:t>
            </w:r>
          </w:p>
          <w:p w14:paraId="54F24AFB" w14:textId="5C72C20E" w:rsidR="001573A6" w:rsidRPr="003058F5" w:rsidRDefault="005870C8" w:rsidP="00F15919">
            <w:pPr>
              <w:pStyle w:val="Paragraphedeliste"/>
              <w:numPr>
                <w:ilvl w:val="0"/>
                <w:numId w:val="65"/>
              </w:numPr>
              <w:spacing w:line="276" w:lineRule="auto"/>
              <w:ind w:left="360"/>
              <w:textAlignment w:val="baseline"/>
              <w:rPr>
                <w:rFonts w:eastAsia="Times New Roman" w:cs="Arial"/>
                <w:szCs w:val="16"/>
              </w:rPr>
            </w:pPr>
            <w:r>
              <w:t>(E) Sans objet</w:t>
            </w:r>
            <w:r w:rsidR="00767929">
              <w:t> ;</w:t>
            </w:r>
            <w:r>
              <w:t xml:space="preserve"> nous ne procédons à aucun </w:t>
            </w:r>
            <w:r>
              <w:rPr>
                <w:i/>
                <w:iCs/>
              </w:rPr>
              <w:t>screening</w:t>
            </w:r>
            <w:r>
              <w:t xml:space="preserve"> d’exclusion négatif sur nos fonds spéculatifs</w:t>
            </w:r>
          </w:p>
        </w:tc>
      </w:tr>
      <w:tr w:rsidR="00D93C03" w:rsidRPr="003058F5" w14:paraId="3E67116F" w14:textId="77777777" w:rsidTr="00F15919">
        <w:trPr>
          <w:gridAfter w:val="2"/>
          <w:wAfter w:w="16" w:type="dxa"/>
          <w:trHeight w:val="300"/>
        </w:trPr>
        <w:tc>
          <w:tcPr>
            <w:tcW w:w="14860" w:type="dxa"/>
            <w:gridSpan w:val="8"/>
            <w:tcBorders>
              <w:top w:val="single" w:sz="6" w:space="0" w:color="A6A6A6" w:themeColor="background1" w:themeShade="A6"/>
              <w:left w:val="nil"/>
              <w:bottom w:val="single" w:sz="6" w:space="0" w:color="A6A6A6" w:themeColor="background1" w:themeShade="A6"/>
              <w:right w:val="nil"/>
            </w:tcBorders>
            <w:shd w:val="clear" w:color="auto" w:fill="FFFFFF" w:themeFill="background1"/>
            <w:tcMar>
              <w:top w:w="0" w:type="dxa"/>
              <w:bottom w:w="0" w:type="dxa"/>
            </w:tcMar>
            <w:vAlign w:val="center"/>
          </w:tcPr>
          <w:p w14:paraId="44103FA9" w14:textId="77777777" w:rsidR="00D93C03" w:rsidRPr="003058F5" w:rsidRDefault="00D93C03" w:rsidP="00082BCE">
            <w:pPr>
              <w:spacing w:line="240" w:lineRule="auto"/>
              <w:jc w:val="center"/>
              <w:textAlignment w:val="baseline"/>
              <w:rPr>
                <w:rStyle w:val="Lienhypertexte"/>
                <w:sz w:val="16"/>
                <w:szCs w:val="16"/>
              </w:rPr>
            </w:pPr>
          </w:p>
        </w:tc>
      </w:tr>
      <w:tr w:rsidR="00D93C03" w:rsidRPr="003058F5" w14:paraId="18E7363D" w14:textId="77777777" w:rsidTr="00F15919">
        <w:trPr>
          <w:gridAfter w:val="2"/>
          <w:wAfter w:w="16" w:type="dxa"/>
          <w:trHeight w:val="300"/>
        </w:trPr>
        <w:tc>
          <w:tcPr>
            <w:tcW w:w="14860" w:type="dxa"/>
            <w:gridSpan w:val="8"/>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0070C0"/>
            <w:vAlign w:val="center"/>
          </w:tcPr>
          <w:p w14:paraId="13149D67" w14:textId="77777777" w:rsidR="00D93C03" w:rsidRPr="003058F5" w:rsidRDefault="00D93C03" w:rsidP="00082BCE">
            <w:pPr>
              <w:rPr>
                <w:rStyle w:val="Lienhypertexte"/>
                <w:b/>
                <w:bCs/>
                <w:color w:val="FFFFFF" w:themeColor="background1"/>
                <w:sz w:val="18"/>
                <w:szCs w:val="18"/>
              </w:rPr>
            </w:pPr>
            <w:r>
              <w:rPr>
                <w:b/>
                <w:color w:val="FFFFFF" w:themeColor="background1"/>
                <w:sz w:val="18"/>
              </w:rPr>
              <w:t>Notes explicatives</w:t>
            </w:r>
          </w:p>
        </w:tc>
      </w:tr>
      <w:tr w:rsidR="00D93C03" w:rsidRPr="003058F5" w14:paraId="1DDE3B22" w14:textId="77777777" w:rsidTr="00F15919">
        <w:trPr>
          <w:gridAfter w:val="1"/>
          <w:wAfter w:w="8" w:type="dxa"/>
          <w:trHeight w:val="300"/>
        </w:trPr>
        <w:tc>
          <w:tcPr>
            <w:tcW w:w="184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79187003" w14:textId="77777777" w:rsidR="00D93C03" w:rsidRPr="003058F5" w:rsidRDefault="00D93C03" w:rsidP="00082BCE">
            <w:pPr>
              <w:rPr>
                <w:rStyle w:val="Lienhypertexte"/>
                <w:b/>
                <w:sz w:val="16"/>
                <w:szCs w:val="16"/>
              </w:rPr>
            </w:pPr>
            <w:r>
              <w:rPr>
                <w:b/>
                <w:sz w:val="16"/>
              </w:rPr>
              <w:t>Objectif de l’indicateur</w:t>
            </w:r>
          </w:p>
        </w:tc>
        <w:tc>
          <w:tcPr>
            <w:tcW w:w="13022" w:type="dxa"/>
            <w:gridSpan w:val="7"/>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98E2996" w14:textId="2ED28EF1" w:rsidR="00D93C03" w:rsidRPr="003058F5" w:rsidRDefault="00D93C03" w:rsidP="00082BCE">
            <w:pPr>
              <w:rPr>
                <w:rStyle w:val="Lienhypertexte"/>
                <w:color w:val="000000" w:themeColor="text1"/>
                <w:sz w:val="16"/>
                <w:szCs w:val="16"/>
              </w:rPr>
            </w:pPr>
            <w:r>
              <w:rPr>
                <w:rStyle w:val="Lienhypertexte"/>
                <w:color w:val="000000" w:themeColor="text1"/>
                <w:sz w:val="16"/>
              </w:rPr>
              <w:t>Cet indicateur vise à comprendre les mesures de supervision et de renforcement de la confiance prises par le signataire pour s'assurer que les filtres d'exclusion négatifs déclarés sont respectés dans tous les portefeuilles où ils sont appliqués. Il est recommandé de mettre en place une supervision par l'intermédiaire d'un comité indépendant, chargé d'effectuer des examens et de surveiller la mise en œuvre, les résultats et les changements de critères. Ces mesures doivent accompagner et compléter les procédures internes de conformité.</w:t>
            </w:r>
          </w:p>
        </w:tc>
      </w:tr>
      <w:tr w:rsidR="00D93C03" w:rsidRPr="003058F5" w14:paraId="14854734" w14:textId="77777777" w:rsidTr="00F15919">
        <w:trPr>
          <w:gridAfter w:val="1"/>
          <w:wAfter w:w="8" w:type="dxa"/>
          <w:trHeight w:val="300"/>
        </w:trPr>
        <w:tc>
          <w:tcPr>
            <w:tcW w:w="184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718F4072" w14:textId="398B78FD" w:rsidR="00D93C03" w:rsidRPr="003058F5" w:rsidRDefault="004B4572" w:rsidP="00082BCE">
            <w:pPr>
              <w:rPr>
                <w:rStyle w:val="Lienhypertexte"/>
                <w:b/>
                <w:sz w:val="16"/>
                <w:szCs w:val="16"/>
              </w:rPr>
            </w:pPr>
            <w:r>
              <w:rPr>
                <w:b/>
                <w:sz w:val="16"/>
              </w:rPr>
              <w:t>Recommandations supplémentaires</w:t>
            </w:r>
            <w:r w:rsidR="00D93C03">
              <w:rPr>
                <w:b/>
                <w:sz w:val="16"/>
              </w:rPr>
              <w:t xml:space="preserve"> en matière de </w:t>
            </w:r>
            <w:proofErr w:type="spellStart"/>
            <w:r w:rsidR="00D93C03">
              <w:rPr>
                <w:b/>
                <w:sz w:val="16"/>
              </w:rPr>
              <w:t>reporting</w:t>
            </w:r>
            <w:proofErr w:type="spellEnd"/>
          </w:p>
        </w:tc>
        <w:tc>
          <w:tcPr>
            <w:tcW w:w="13022" w:type="dxa"/>
            <w:gridSpan w:val="7"/>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4DE003DE" w14:textId="33D3A45B" w:rsidR="00C85C3B" w:rsidRPr="003058F5" w:rsidRDefault="00C85C3B" w:rsidP="00C85C3B">
            <w:pPr>
              <w:rPr>
                <w:rStyle w:val="Lienhypertexte"/>
                <w:color w:val="000000" w:themeColor="text1"/>
                <w:sz w:val="16"/>
                <w:szCs w:val="16"/>
              </w:rPr>
            </w:pPr>
            <w:r>
              <w:rPr>
                <w:rStyle w:val="Lienhypertexte"/>
                <w:color w:val="000000" w:themeColor="text1"/>
                <w:sz w:val="16"/>
              </w:rPr>
              <w:t xml:space="preserve">Dans cet indicateur, les </w:t>
            </w:r>
            <w:r w:rsidR="00FC3BD3">
              <w:rPr>
                <w:rStyle w:val="Lienhypertexte"/>
                <w:color w:val="000000" w:themeColor="text1"/>
                <w:sz w:val="16"/>
              </w:rPr>
              <w:t>« </w:t>
            </w:r>
            <w:r>
              <w:rPr>
                <w:rStyle w:val="Lienhypertexte"/>
                <w:color w:val="000000" w:themeColor="text1"/>
                <w:sz w:val="16"/>
              </w:rPr>
              <w:t>procédures internes de conformité</w:t>
            </w:r>
            <w:r w:rsidR="00FC3BD3">
              <w:rPr>
                <w:rStyle w:val="Lienhypertexte"/>
                <w:color w:val="000000" w:themeColor="text1"/>
                <w:sz w:val="16"/>
              </w:rPr>
              <w:t> »</w:t>
            </w:r>
            <w:r>
              <w:rPr>
                <w:rStyle w:val="Lienhypertexte"/>
                <w:color w:val="000000" w:themeColor="text1"/>
                <w:sz w:val="16"/>
              </w:rPr>
              <w:t xml:space="preserve"> comprennent (sans s'y limiter) les contrôles internes visant à garantir que les fonds ou les portefeuilles d'actions cotées soumis à des filtres d'exclusion négatifs respectent les critères de sélection et/ou les processus d'audit indépendants qui garantissent que les critères de sélection sont correctement mis en œuvre.</w:t>
            </w:r>
          </w:p>
          <w:p w14:paraId="29CF1D83" w14:textId="67DEC99C" w:rsidR="00C85C3B" w:rsidRPr="003058F5" w:rsidRDefault="003231A6" w:rsidP="00082BCE">
            <w:pPr>
              <w:rPr>
                <w:rStyle w:val="Lienhypertexte"/>
                <w:color w:val="000000" w:themeColor="text1"/>
                <w:sz w:val="16"/>
                <w:szCs w:val="16"/>
              </w:rPr>
            </w:pPr>
            <w:r>
              <w:rPr>
                <w:rStyle w:val="Lienhypertexte"/>
                <w:color w:val="000000" w:themeColor="text1"/>
                <w:sz w:val="16"/>
              </w:rPr>
              <w:t xml:space="preserve"> </w:t>
            </w:r>
          </w:p>
          <w:p w14:paraId="0A3301A9" w14:textId="2B430999" w:rsidR="00E26BC6" w:rsidRPr="003058F5" w:rsidRDefault="00D93C03" w:rsidP="00082BCE">
            <w:pPr>
              <w:rPr>
                <w:rStyle w:val="Lienhypertexte"/>
                <w:color w:val="000000" w:themeColor="text1"/>
                <w:sz w:val="16"/>
                <w:szCs w:val="16"/>
              </w:rPr>
            </w:pPr>
            <w:r>
              <w:rPr>
                <w:rStyle w:val="Lienhypertexte"/>
                <w:color w:val="000000" w:themeColor="text1"/>
                <w:sz w:val="16"/>
              </w:rPr>
              <w:lastRenderedPageBreak/>
              <w:t xml:space="preserve">Dans cet indicateur, </w:t>
            </w:r>
            <w:r w:rsidR="00FC3BD3">
              <w:rPr>
                <w:rStyle w:val="Lienhypertexte"/>
                <w:color w:val="000000" w:themeColor="text1"/>
                <w:sz w:val="16"/>
              </w:rPr>
              <w:t>« </w:t>
            </w:r>
            <w:r>
              <w:rPr>
                <w:rStyle w:val="Lienhypertexte"/>
                <w:color w:val="000000" w:themeColor="text1"/>
                <w:sz w:val="16"/>
              </w:rPr>
              <w:t>un comité externe</w:t>
            </w:r>
            <w:r w:rsidR="00FC3BD3">
              <w:rPr>
                <w:rStyle w:val="Lienhypertexte"/>
                <w:color w:val="000000" w:themeColor="text1"/>
                <w:sz w:val="16"/>
              </w:rPr>
              <w:t> »</w:t>
            </w:r>
            <w:r>
              <w:rPr>
                <w:rStyle w:val="Lienhypertexte"/>
                <w:color w:val="000000" w:themeColor="text1"/>
                <w:sz w:val="16"/>
              </w:rPr>
              <w:t xml:space="preserve"> peut désigner un organisme qui fournit des conseils indépendants à l'organisation signataire sur la mise en œuvre, la révision et l’élaboration des critères de </w:t>
            </w:r>
            <w:r>
              <w:rPr>
                <w:rStyle w:val="Lienhypertexte"/>
                <w:i/>
                <w:iCs/>
                <w:color w:val="000000" w:themeColor="text1"/>
                <w:sz w:val="16"/>
              </w:rPr>
              <w:t>screening</w:t>
            </w:r>
            <w:r>
              <w:rPr>
                <w:rStyle w:val="Lienhypertexte"/>
                <w:color w:val="000000" w:themeColor="text1"/>
                <w:sz w:val="16"/>
              </w:rPr>
              <w:t xml:space="preserve">, que ce soit pour un fonds donné ou au niveau de l’organisation. </w:t>
            </w:r>
          </w:p>
          <w:p w14:paraId="1A7A4983" w14:textId="2CBE3DDC" w:rsidR="00150615" w:rsidRPr="003058F5" w:rsidRDefault="00150615" w:rsidP="00082BCE">
            <w:pPr>
              <w:rPr>
                <w:rStyle w:val="Lienhypertexte"/>
                <w:color w:val="000000" w:themeColor="text1"/>
                <w:sz w:val="16"/>
                <w:szCs w:val="16"/>
              </w:rPr>
            </w:pPr>
          </w:p>
          <w:p w14:paraId="1FA83EFE" w14:textId="6E1F1441" w:rsidR="008A3C7B" w:rsidRPr="003058F5" w:rsidRDefault="008C4E1C" w:rsidP="00082BCE">
            <w:pPr>
              <w:rPr>
                <w:rStyle w:val="Lienhypertexte"/>
                <w:color w:val="000000" w:themeColor="text1"/>
                <w:sz w:val="16"/>
                <w:szCs w:val="16"/>
              </w:rPr>
            </w:pPr>
            <w:r>
              <w:rPr>
                <w:rStyle w:val="Lienhypertexte"/>
                <w:color w:val="000000" w:themeColor="text1"/>
                <w:sz w:val="16"/>
              </w:rPr>
              <w:t xml:space="preserve">Dans cet indicateur, </w:t>
            </w:r>
            <w:r w:rsidR="00FC3BD3">
              <w:rPr>
                <w:rStyle w:val="Lienhypertexte"/>
                <w:color w:val="000000" w:themeColor="text1"/>
                <w:sz w:val="16"/>
              </w:rPr>
              <w:t>« </w:t>
            </w:r>
            <w:r>
              <w:rPr>
                <w:rStyle w:val="Lienhypertexte"/>
                <w:color w:val="000000" w:themeColor="text1"/>
                <w:sz w:val="16"/>
              </w:rPr>
              <w:t>un comité interne indépendant</w:t>
            </w:r>
            <w:r w:rsidR="00FC3BD3">
              <w:rPr>
                <w:rStyle w:val="Lienhypertexte"/>
                <w:color w:val="000000" w:themeColor="text1"/>
                <w:sz w:val="16"/>
              </w:rPr>
              <w:t> »</w:t>
            </w:r>
            <w:r>
              <w:rPr>
                <w:rStyle w:val="Lienhypertexte"/>
                <w:color w:val="000000" w:themeColor="text1"/>
                <w:sz w:val="16"/>
              </w:rPr>
              <w:t xml:space="preserve"> pourrait être composé de membres de la direction n'ayant pas de responsabilités en matière de prise de décisions d'investissement tels que les équipes chargées de la gestion des risques et/ou de la conformité.</w:t>
            </w:r>
          </w:p>
        </w:tc>
      </w:tr>
      <w:tr w:rsidR="00D93C03" w:rsidRPr="003058F5" w14:paraId="37830575" w14:textId="77777777" w:rsidTr="00F15919">
        <w:trPr>
          <w:gridAfter w:val="1"/>
          <w:wAfter w:w="8" w:type="dxa"/>
          <w:trHeight w:val="300"/>
        </w:trPr>
        <w:tc>
          <w:tcPr>
            <w:tcW w:w="184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80960D1" w14:textId="77777777" w:rsidR="00D93C03" w:rsidRPr="003058F5" w:rsidRDefault="00D93C03" w:rsidP="00082BCE">
            <w:pPr>
              <w:rPr>
                <w:b/>
                <w:bCs/>
                <w:sz w:val="16"/>
                <w:szCs w:val="16"/>
              </w:rPr>
            </w:pPr>
            <w:r>
              <w:rPr>
                <w:b/>
                <w:sz w:val="16"/>
              </w:rPr>
              <w:lastRenderedPageBreak/>
              <w:t>Autres ressources</w:t>
            </w:r>
          </w:p>
        </w:tc>
        <w:tc>
          <w:tcPr>
            <w:tcW w:w="13022" w:type="dxa"/>
            <w:gridSpan w:val="7"/>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7AD42457" w14:textId="39590078" w:rsidR="00D93C03" w:rsidRPr="003058F5" w:rsidRDefault="00D93C03" w:rsidP="00D93C03">
            <w:pPr>
              <w:rPr>
                <w:rStyle w:val="Lienhypertexte"/>
                <w:color w:val="000000" w:themeColor="text1"/>
              </w:rPr>
            </w:pPr>
            <w:r>
              <w:rPr>
                <w:rStyle w:val="Lienhypertexte"/>
                <w:color w:val="000000" w:themeColor="text1"/>
                <w:sz w:val="16"/>
              </w:rPr>
              <w:t xml:space="preserve">Pour de plus amples informations sur le </w:t>
            </w:r>
            <w:r>
              <w:rPr>
                <w:rStyle w:val="Lienhypertexte"/>
                <w:i/>
                <w:iCs/>
                <w:color w:val="000000" w:themeColor="text1"/>
                <w:sz w:val="16"/>
              </w:rPr>
              <w:t>screening</w:t>
            </w:r>
            <w:r>
              <w:rPr>
                <w:rStyle w:val="Lienhypertexte"/>
                <w:color w:val="000000" w:themeColor="text1"/>
                <w:sz w:val="16"/>
              </w:rPr>
              <w:t xml:space="preserve">, veuillez consulter le document intitulé </w:t>
            </w:r>
            <w:hyperlink r:id="rId67" w:history="1">
              <w:r>
                <w:rPr>
                  <w:rStyle w:val="Lienhypertexte"/>
                  <w:sz w:val="16"/>
                </w:rPr>
                <w:t xml:space="preserve">An introduction to </w:t>
              </w:r>
              <w:proofErr w:type="spellStart"/>
              <w:r>
                <w:rPr>
                  <w:rStyle w:val="Lienhypertexte"/>
                  <w:sz w:val="16"/>
                </w:rPr>
                <w:t>responsible</w:t>
              </w:r>
              <w:proofErr w:type="spellEnd"/>
              <w:r>
                <w:rPr>
                  <w:rStyle w:val="Lienhypertexte"/>
                  <w:sz w:val="16"/>
                </w:rPr>
                <w:t xml:space="preserve"> </w:t>
              </w:r>
              <w:proofErr w:type="spellStart"/>
              <w:proofErr w:type="gramStart"/>
              <w:r>
                <w:rPr>
                  <w:rStyle w:val="Lienhypertexte"/>
                  <w:sz w:val="16"/>
                </w:rPr>
                <w:t>investment</w:t>
              </w:r>
              <w:proofErr w:type="spellEnd"/>
              <w:r>
                <w:rPr>
                  <w:rStyle w:val="Lienhypertexte"/>
                  <w:sz w:val="16"/>
                </w:rPr>
                <w:t>:</w:t>
              </w:r>
              <w:proofErr w:type="gramEnd"/>
              <w:r>
                <w:rPr>
                  <w:rStyle w:val="Lienhypertexte"/>
                  <w:sz w:val="16"/>
                </w:rPr>
                <w:t xml:space="preserve"> screening (Introduction à l’investissement responsable</w:t>
              </w:r>
              <w:r w:rsidR="00767929">
                <w:rPr>
                  <w:rStyle w:val="Lienhypertexte"/>
                  <w:sz w:val="16"/>
                </w:rPr>
                <w:t> :</w:t>
              </w:r>
              <w:r>
                <w:rPr>
                  <w:rStyle w:val="Lienhypertexte"/>
                  <w:sz w:val="16"/>
                </w:rPr>
                <w:t xml:space="preserve"> le </w:t>
              </w:r>
              <w:r>
                <w:rPr>
                  <w:rStyle w:val="Lienhypertexte"/>
                  <w:i/>
                  <w:iCs/>
                  <w:sz w:val="16"/>
                </w:rPr>
                <w:t>screening</w:t>
              </w:r>
              <w:r>
                <w:rPr>
                  <w:rStyle w:val="Lienhypertexte"/>
                  <w:sz w:val="16"/>
                </w:rPr>
                <w:t>)</w:t>
              </w:r>
            </w:hyperlink>
            <w:r>
              <w:rPr>
                <w:rStyle w:val="Lienhypertexte"/>
                <w:color w:val="000000" w:themeColor="text1"/>
                <w:sz w:val="16"/>
              </w:rPr>
              <w:t>.</w:t>
            </w:r>
          </w:p>
        </w:tc>
      </w:tr>
      <w:tr w:rsidR="00D93C03" w:rsidRPr="003058F5" w14:paraId="4D4E8A86" w14:textId="77777777" w:rsidTr="00F15919">
        <w:trPr>
          <w:gridAfter w:val="1"/>
          <w:wAfter w:w="8" w:type="dxa"/>
          <w:trHeight w:val="300"/>
        </w:trPr>
        <w:tc>
          <w:tcPr>
            <w:tcW w:w="184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8752A0D" w14:textId="77777777" w:rsidR="00D93C03" w:rsidRPr="003058F5" w:rsidRDefault="00D93C03" w:rsidP="00082BCE">
            <w:pPr>
              <w:rPr>
                <w:b/>
                <w:bCs/>
                <w:sz w:val="16"/>
                <w:szCs w:val="16"/>
              </w:rPr>
            </w:pPr>
            <w:r>
              <w:rPr>
                <w:b/>
                <w:sz w:val="16"/>
              </w:rPr>
              <w:t>Référence à d’autres normes</w:t>
            </w:r>
          </w:p>
        </w:tc>
        <w:tc>
          <w:tcPr>
            <w:tcW w:w="13022" w:type="dxa"/>
            <w:gridSpan w:val="7"/>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01DB18AE" w14:textId="3431FC66" w:rsidR="00D93C03" w:rsidRPr="003058F5" w:rsidRDefault="00D93C03" w:rsidP="00082BCE">
            <w:pPr>
              <w:rPr>
                <w:rStyle w:val="Lienhypertexte"/>
                <w:color w:val="000000" w:themeColor="text1"/>
              </w:rPr>
            </w:pPr>
            <w:r>
              <w:rPr>
                <w:rStyle w:val="Lienhypertexte"/>
                <w:color w:val="000000" w:themeColor="text1"/>
                <w:sz w:val="16"/>
              </w:rPr>
              <w:t>Principes directeurs de l’OCDE relatifs à la conduite responsable des entreprises s’appliquant aux investisseurs institutionnels (</w:t>
            </w:r>
            <w:r>
              <w:rPr>
                <w:rStyle w:val="Lienhypertexte"/>
                <w:i/>
                <w:iCs/>
                <w:color w:val="000000" w:themeColor="text1"/>
                <w:sz w:val="16"/>
              </w:rPr>
              <w:t xml:space="preserve">OECD </w:t>
            </w:r>
            <w:proofErr w:type="spellStart"/>
            <w:r>
              <w:rPr>
                <w:rStyle w:val="Lienhypertexte"/>
                <w:i/>
                <w:iCs/>
                <w:color w:val="000000" w:themeColor="text1"/>
                <w:sz w:val="16"/>
              </w:rPr>
              <w:t>Responsible</w:t>
            </w:r>
            <w:proofErr w:type="spellEnd"/>
            <w:r>
              <w:rPr>
                <w:rStyle w:val="Lienhypertexte"/>
                <w:i/>
                <w:iCs/>
                <w:color w:val="000000" w:themeColor="text1"/>
                <w:sz w:val="16"/>
              </w:rPr>
              <w:t xml:space="preserve"> Business </w:t>
            </w:r>
            <w:proofErr w:type="spellStart"/>
            <w:r>
              <w:rPr>
                <w:rStyle w:val="Lienhypertexte"/>
                <w:i/>
                <w:iCs/>
                <w:color w:val="000000" w:themeColor="text1"/>
                <w:sz w:val="16"/>
              </w:rPr>
              <w:t>Conduct</w:t>
            </w:r>
            <w:proofErr w:type="spellEnd"/>
            <w:r>
              <w:rPr>
                <w:rStyle w:val="Lienhypertexte"/>
                <w:i/>
                <w:iCs/>
                <w:color w:val="000000" w:themeColor="text1"/>
                <w:sz w:val="16"/>
              </w:rPr>
              <w:t xml:space="preserve"> for </w:t>
            </w:r>
            <w:proofErr w:type="spellStart"/>
            <w:r>
              <w:rPr>
                <w:rStyle w:val="Lienhypertexte"/>
                <w:i/>
                <w:iCs/>
                <w:color w:val="000000" w:themeColor="text1"/>
                <w:sz w:val="16"/>
              </w:rPr>
              <w:t>Institutional</w:t>
            </w:r>
            <w:proofErr w:type="spellEnd"/>
            <w:r>
              <w:rPr>
                <w:rStyle w:val="Lienhypertexte"/>
                <w:i/>
                <w:iCs/>
                <w:color w:val="000000" w:themeColor="text1"/>
                <w:sz w:val="16"/>
              </w:rPr>
              <w:t xml:space="preserve"> </w:t>
            </w:r>
            <w:proofErr w:type="spellStart"/>
            <w:r>
              <w:rPr>
                <w:rStyle w:val="Lienhypertexte"/>
                <w:i/>
                <w:iCs/>
                <w:color w:val="000000" w:themeColor="text1"/>
                <w:sz w:val="16"/>
              </w:rPr>
              <w:t>Investors</w:t>
            </w:r>
            <w:proofErr w:type="spellEnd"/>
            <w:r>
              <w:rPr>
                <w:rStyle w:val="Lienhypertexte"/>
                <w:color w:val="000000" w:themeColor="text1"/>
                <w:sz w:val="16"/>
              </w:rPr>
              <w:t>)</w:t>
            </w:r>
          </w:p>
        </w:tc>
      </w:tr>
      <w:tr w:rsidR="00D93C03" w:rsidRPr="003058F5" w14:paraId="00C366CB" w14:textId="77777777" w:rsidTr="00F15919">
        <w:trPr>
          <w:gridAfter w:val="2"/>
          <w:wAfter w:w="16" w:type="dxa"/>
          <w:trHeight w:val="300"/>
        </w:trPr>
        <w:tc>
          <w:tcPr>
            <w:tcW w:w="14860" w:type="dxa"/>
            <w:gridSpan w:val="8"/>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0070C0"/>
            <w:vAlign w:val="center"/>
          </w:tcPr>
          <w:p w14:paraId="5925232D" w14:textId="77777777" w:rsidR="00D93C03" w:rsidRPr="003058F5" w:rsidRDefault="00D93C03" w:rsidP="00082BCE">
            <w:pPr>
              <w:rPr>
                <w:color w:val="FFFFFF" w:themeColor="background1"/>
                <w:sz w:val="16"/>
                <w:szCs w:val="16"/>
              </w:rPr>
            </w:pPr>
            <w:r>
              <w:rPr>
                <w:b/>
                <w:color w:val="FFFFFF" w:themeColor="background1"/>
                <w:sz w:val="18"/>
              </w:rPr>
              <w:t>Logique</w:t>
            </w:r>
          </w:p>
        </w:tc>
      </w:tr>
      <w:tr w:rsidR="00D93C03" w:rsidRPr="003058F5" w14:paraId="035202E1" w14:textId="77777777" w:rsidTr="00F15919">
        <w:trPr>
          <w:gridAfter w:val="1"/>
          <w:wAfter w:w="8" w:type="dxa"/>
          <w:trHeight w:val="300"/>
        </w:trPr>
        <w:tc>
          <w:tcPr>
            <w:tcW w:w="184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34B2D5F" w14:textId="77777777" w:rsidR="00D93C03" w:rsidRPr="003058F5" w:rsidRDefault="00D93C03" w:rsidP="00082BCE">
            <w:pPr>
              <w:rPr>
                <w:b/>
                <w:bCs/>
                <w:sz w:val="16"/>
                <w:szCs w:val="16"/>
              </w:rPr>
            </w:pPr>
            <w:r>
              <w:rPr>
                <w:b/>
                <w:sz w:val="16"/>
              </w:rPr>
              <w:t>Lien avec</w:t>
            </w:r>
          </w:p>
        </w:tc>
        <w:tc>
          <w:tcPr>
            <w:tcW w:w="13022" w:type="dxa"/>
            <w:gridSpan w:val="7"/>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618751F" w14:textId="1B82D828" w:rsidR="00D93C03" w:rsidRPr="003058F5" w:rsidRDefault="00740665" w:rsidP="00082BCE">
            <w:pPr>
              <w:rPr>
                <w:color w:val="000000" w:themeColor="text1"/>
                <w:sz w:val="16"/>
                <w:szCs w:val="16"/>
              </w:rPr>
            </w:pPr>
            <w:r>
              <w:rPr>
                <w:color w:val="000000" w:themeColor="text1"/>
                <w:sz w:val="16"/>
              </w:rPr>
              <w:t>[OO 21]</w:t>
            </w:r>
          </w:p>
        </w:tc>
      </w:tr>
      <w:tr w:rsidR="00D93C03" w:rsidRPr="003058F5" w14:paraId="3E513AB0" w14:textId="77777777" w:rsidTr="00F15919">
        <w:trPr>
          <w:gridAfter w:val="1"/>
          <w:wAfter w:w="8" w:type="dxa"/>
          <w:trHeight w:val="300"/>
        </w:trPr>
        <w:tc>
          <w:tcPr>
            <w:tcW w:w="184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7C451254" w14:textId="77777777" w:rsidR="00D93C03" w:rsidRPr="003058F5" w:rsidRDefault="00D93C03" w:rsidP="00082BCE">
            <w:pPr>
              <w:rPr>
                <w:b/>
                <w:bCs/>
                <w:sz w:val="16"/>
                <w:szCs w:val="16"/>
              </w:rPr>
            </w:pPr>
            <w:r>
              <w:rPr>
                <w:b/>
                <w:sz w:val="16"/>
              </w:rPr>
              <w:t>Accès à</w:t>
            </w:r>
          </w:p>
        </w:tc>
        <w:tc>
          <w:tcPr>
            <w:tcW w:w="13022" w:type="dxa"/>
            <w:gridSpan w:val="7"/>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00DD2140" w14:textId="69EB46CF" w:rsidR="00D93C03" w:rsidRPr="003058F5" w:rsidRDefault="005C556A" w:rsidP="00082BCE">
            <w:pPr>
              <w:rPr>
                <w:color w:val="000000" w:themeColor="text1"/>
                <w:sz w:val="16"/>
                <w:szCs w:val="16"/>
              </w:rPr>
            </w:pPr>
            <w:r>
              <w:rPr>
                <w:color w:val="000000" w:themeColor="text1"/>
                <w:sz w:val="16"/>
              </w:rPr>
              <w:t>Sans objet</w:t>
            </w:r>
          </w:p>
        </w:tc>
      </w:tr>
      <w:tr w:rsidR="00D93C03" w:rsidRPr="003058F5" w14:paraId="77844266" w14:textId="77777777" w:rsidTr="00F15919">
        <w:trPr>
          <w:gridAfter w:val="2"/>
          <w:wAfter w:w="16" w:type="dxa"/>
          <w:trHeight w:val="300"/>
        </w:trPr>
        <w:tc>
          <w:tcPr>
            <w:tcW w:w="14860" w:type="dxa"/>
            <w:gridSpan w:val="8"/>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0070C0"/>
            <w:vAlign w:val="center"/>
          </w:tcPr>
          <w:p w14:paraId="4D4552BF" w14:textId="77777777" w:rsidR="00D93C03" w:rsidRPr="003058F5" w:rsidRDefault="00D93C03" w:rsidP="00082BCE">
            <w:pPr>
              <w:rPr>
                <w:rFonts w:eastAsia="Times New Roman" w:cs="Arial"/>
                <w:b/>
                <w:bCs/>
                <w:color w:val="FFFFFF" w:themeColor="background1"/>
                <w:sz w:val="18"/>
                <w:szCs w:val="18"/>
              </w:rPr>
            </w:pPr>
            <w:r>
              <w:rPr>
                <w:b/>
                <w:color w:val="FFFFFF" w:themeColor="background1"/>
                <w:sz w:val="18"/>
              </w:rPr>
              <w:t>Évaluation</w:t>
            </w:r>
          </w:p>
        </w:tc>
      </w:tr>
      <w:tr w:rsidR="004F7C73" w:rsidRPr="003058F5" w14:paraId="7CD1495F" w14:textId="77777777" w:rsidTr="00F15919">
        <w:trPr>
          <w:gridAfter w:val="1"/>
          <w:wAfter w:w="8" w:type="dxa"/>
          <w:trHeight w:val="354"/>
        </w:trPr>
        <w:tc>
          <w:tcPr>
            <w:tcW w:w="1846" w:type="dxa"/>
            <w:gridSpan w:val="2"/>
            <w:shd w:val="clear" w:color="auto" w:fill="auto"/>
            <w:vAlign w:val="center"/>
          </w:tcPr>
          <w:p w14:paraId="27F43B2B" w14:textId="77777777" w:rsidR="004F7C73" w:rsidRPr="003058F5" w:rsidRDefault="004F7C73" w:rsidP="00082BCE">
            <w:pPr>
              <w:rPr>
                <w:b/>
                <w:sz w:val="16"/>
                <w:szCs w:val="16"/>
              </w:rPr>
            </w:pPr>
            <w:r>
              <w:rPr>
                <w:b/>
                <w:sz w:val="16"/>
              </w:rPr>
              <w:t>Critères d'évaluation</w:t>
            </w:r>
          </w:p>
        </w:tc>
        <w:tc>
          <w:tcPr>
            <w:tcW w:w="6510" w:type="dxa"/>
            <w:gridSpan w:val="3"/>
            <w:shd w:val="clear" w:color="auto" w:fill="auto"/>
            <w:vAlign w:val="center"/>
          </w:tcPr>
          <w:p w14:paraId="50C64DEA" w14:textId="55CCB4BF" w:rsidR="006A0B72" w:rsidRPr="003058F5" w:rsidRDefault="006A0B72" w:rsidP="006A0B72">
            <w:pPr>
              <w:rPr>
                <w:rStyle w:val="Lienhypertexte"/>
                <w:color w:val="000000" w:themeColor="text1"/>
                <w:sz w:val="16"/>
                <w:szCs w:val="16"/>
              </w:rPr>
            </w:pPr>
            <w:r>
              <w:rPr>
                <w:rStyle w:val="Lienhypertexte"/>
                <w:color w:val="000000" w:themeColor="text1"/>
                <w:sz w:val="16"/>
              </w:rPr>
              <w:t>100 points pour cet indicateur.</w:t>
            </w:r>
          </w:p>
          <w:p w14:paraId="62A7DF46" w14:textId="77777777" w:rsidR="006A0B72" w:rsidRPr="003058F5" w:rsidRDefault="006A0B72" w:rsidP="006A0B72">
            <w:pPr>
              <w:rPr>
                <w:rStyle w:val="Lienhypertexte"/>
                <w:color w:val="000000" w:themeColor="text1"/>
                <w:sz w:val="16"/>
                <w:szCs w:val="16"/>
              </w:rPr>
            </w:pPr>
          </w:p>
          <w:p w14:paraId="3C595538" w14:textId="05AB2BF6" w:rsidR="00C6771E" w:rsidRPr="003058F5" w:rsidRDefault="006A0B72" w:rsidP="00C6771E">
            <w:pPr>
              <w:rPr>
                <w:rStyle w:val="Lienhypertexte"/>
                <w:color w:val="000000" w:themeColor="text1"/>
                <w:sz w:val="16"/>
                <w:szCs w:val="16"/>
              </w:rPr>
            </w:pPr>
            <w:r>
              <w:rPr>
                <w:rStyle w:val="Lienhypertexte"/>
                <w:color w:val="000000" w:themeColor="text1"/>
                <w:sz w:val="16"/>
              </w:rPr>
              <w:t xml:space="preserve">100 points pour au moins 3 réponses cochées parmi les options A à C </w:t>
            </w:r>
            <w:r>
              <w:rPr>
                <w:rStyle w:val="Lienhypertexte"/>
                <w:b/>
                <w:bCs/>
                <w:color w:val="000000" w:themeColor="text1"/>
                <w:sz w:val="16"/>
              </w:rPr>
              <w:t>OU</w:t>
            </w:r>
            <w:r>
              <w:rPr>
                <w:rStyle w:val="Lienhypertexte"/>
                <w:color w:val="000000" w:themeColor="text1"/>
                <w:sz w:val="16"/>
              </w:rPr>
              <w:t xml:space="preserve"> à la fois l’option A et l’option B.</w:t>
            </w:r>
          </w:p>
          <w:p w14:paraId="4A270AF4" w14:textId="3BE0C39A" w:rsidR="00C6771E" w:rsidRPr="003058F5" w:rsidRDefault="00C6771E" w:rsidP="00C6771E">
            <w:pPr>
              <w:rPr>
                <w:rStyle w:val="Lienhypertexte"/>
                <w:color w:val="000000" w:themeColor="text1"/>
                <w:sz w:val="16"/>
                <w:szCs w:val="16"/>
              </w:rPr>
            </w:pPr>
            <w:r>
              <w:rPr>
                <w:rStyle w:val="Lienhypertexte"/>
                <w:color w:val="000000" w:themeColor="text1"/>
                <w:sz w:val="16"/>
              </w:rPr>
              <w:t xml:space="preserve">66 points pour à la fois l’option A et l’option B </w:t>
            </w:r>
            <w:r>
              <w:rPr>
                <w:rStyle w:val="Lienhypertexte"/>
                <w:b/>
                <w:bCs/>
                <w:color w:val="000000" w:themeColor="text1"/>
                <w:sz w:val="16"/>
              </w:rPr>
              <w:t>OU</w:t>
            </w:r>
            <w:r>
              <w:rPr>
                <w:rStyle w:val="Lienhypertexte"/>
                <w:color w:val="000000" w:themeColor="text1"/>
                <w:sz w:val="16"/>
              </w:rPr>
              <w:t xml:space="preserve"> à la fois l’option B et l’option C.</w:t>
            </w:r>
          </w:p>
          <w:p w14:paraId="56DC02AA" w14:textId="75F119DB" w:rsidR="00C6771E" w:rsidRPr="003058F5" w:rsidRDefault="00C6771E" w:rsidP="00C6771E">
            <w:pPr>
              <w:rPr>
                <w:rStyle w:val="Lienhypertexte"/>
                <w:color w:val="000000" w:themeColor="text1"/>
                <w:sz w:val="16"/>
                <w:szCs w:val="16"/>
              </w:rPr>
            </w:pPr>
            <w:r>
              <w:rPr>
                <w:rStyle w:val="Lienhypertexte"/>
                <w:color w:val="000000" w:themeColor="text1"/>
                <w:sz w:val="16"/>
              </w:rPr>
              <w:t>33 points pour 1 réponse cochée parmi les options A à C.</w:t>
            </w:r>
          </w:p>
          <w:p w14:paraId="1C508993" w14:textId="751DFA88" w:rsidR="004F7C73" w:rsidRPr="003058F5" w:rsidRDefault="00C6771E" w:rsidP="00D93C03">
            <w:pPr>
              <w:rPr>
                <w:rStyle w:val="Lienhypertexte"/>
                <w:color w:val="000000" w:themeColor="text1"/>
                <w:sz w:val="16"/>
                <w:szCs w:val="16"/>
                <w:highlight w:val="yellow"/>
              </w:rPr>
            </w:pPr>
            <w:r>
              <w:rPr>
                <w:rStyle w:val="Lienhypertexte"/>
                <w:color w:val="000000" w:themeColor="text1"/>
                <w:sz w:val="16"/>
              </w:rPr>
              <w:t>0 point pour l’option D.</w:t>
            </w:r>
          </w:p>
        </w:tc>
        <w:tc>
          <w:tcPr>
            <w:tcW w:w="6512" w:type="dxa"/>
            <w:gridSpan w:val="4"/>
            <w:shd w:val="clear" w:color="auto" w:fill="auto"/>
            <w:vAlign w:val="center"/>
          </w:tcPr>
          <w:p w14:paraId="7AC2CF8C" w14:textId="2673C301" w:rsidR="00C82A58" w:rsidRPr="003058F5" w:rsidRDefault="00C82A58" w:rsidP="00C82A58">
            <w:pPr>
              <w:spacing w:line="240" w:lineRule="auto"/>
              <w:rPr>
                <w:rFonts w:cs="Arial"/>
                <w:color w:val="000000"/>
                <w:sz w:val="16"/>
                <w:szCs w:val="16"/>
              </w:rPr>
            </w:pPr>
            <w:r>
              <w:rPr>
                <w:color w:val="000000"/>
                <w:sz w:val="16"/>
              </w:rPr>
              <w:t>Autres informations</w:t>
            </w:r>
            <w:r w:rsidR="00767929">
              <w:rPr>
                <w:color w:val="000000"/>
                <w:sz w:val="16"/>
              </w:rPr>
              <w:t> :</w:t>
            </w:r>
          </w:p>
          <w:p w14:paraId="1EA135C8" w14:textId="77777777" w:rsidR="00C82A58" w:rsidRPr="003058F5" w:rsidRDefault="00C82A58" w:rsidP="00C82A58">
            <w:pPr>
              <w:spacing w:line="240" w:lineRule="auto"/>
              <w:rPr>
                <w:rFonts w:cs="Arial"/>
                <w:color w:val="000000"/>
                <w:sz w:val="16"/>
                <w:szCs w:val="16"/>
              </w:rPr>
            </w:pPr>
          </w:p>
          <w:p w14:paraId="7EF82258" w14:textId="7C8152EB" w:rsidR="0014410E" w:rsidRPr="003058F5" w:rsidRDefault="00386F8F" w:rsidP="0014410E">
            <w:pPr>
              <w:rPr>
                <w:rStyle w:val="Lienhypertexte"/>
                <w:color w:val="000000" w:themeColor="text1"/>
                <w:sz w:val="16"/>
                <w:szCs w:val="16"/>
              </w:rPr>
            </w:pPr>
            <w:r>
              <w:rPr>
                <w:color w:val="000000"/>
                <w:sz w:val="16"/>
              </w:rPr>
              <w:t xml:space="preserve">Si vous sélectionnez </w:t>
            </w:r>
            <w:r w:rsidR="00FC3BD3">
              <w:rPr>
                <w:color w:val="000000"/>
                <w:sz w:val="16"/>
              </w:rPr>
              <w:t>« </w:t>
            </w:r>
            <w:r>
              <w:rPr>
                <w:color w:val="000000"/>
                <w:sz w:val="16"/>
              </w:rPr>
              <w:t>D</w:t>
            </w:r>
            <w:r w:rsidR="00FC3BD3">
              <w:rPr>
                <w:color w:val="000000"/>
                <w:sz w:val="16"/>
              </w:rPr>
              <w:t> »</w:t>
            </w:r>
            <w:r>
              <w:rPr>
                <w:color w:val="000000"/>
                <w:sz w:val="16"/>
              </w:rPr>
              <w:t>, vous obtiendrez une note de 0/100 points pour cet indicateur.</w:t>
            </w:r>
          </w:p>
          <w:p w14:paraId="5483AD13" w14:textId="77777777" w:rsidR="00C82A58" w:rsidRPr="003058F5" w:rsidRDefault="00C82A58" w:rsidP="0014410E">
            <w:pPr>
              <w:rPr>
                <w:rStyle w:val="Lienhypertexte"/>
                <w:color w:val="000000" w:themeColor="text1"/>
                <w:sz w:val="16"/>
                <w:szCs w:val="16"/>
              </w:rPr>
            </w:pPr>
          </w:p>
          <w:p w14:paraId="5F8E9AB0" w14:textId="0E9642B3" w:rsidR="004F7C73" w:rsidRPr="003058F5" w:rsidRDefault="00386F8F" w:rsidP="0014410E">
            <w:pPr>
              <w:rPr>
                <w:rStyle w:val="Lienhypertexte"/>
                <w:color w:val="000000" w:themeColor="text1"/>
                <w:highlight w:val="yellow"/>
              </w:rPr>
            </w:pPr>
            <w:r>
              <w:rPr>
                <w:rStyle w:val="Lienhypertexte"/>
                <w:color w:val="000000" w:themeColor="text1"/>
                <w:sz w:val="16"/>
              </w:rPr>
              <w:t xml:space="preserve">Si la réponse est </w:t>
            </w:r>
            <w:r w:rsidR="00FC3BD3">
              <w:rPr>
                <w:rStyle w:val="Lienhypertexte"/>
                <w:color w:val="000000" w:themeColor="text1"/>
                <w:sz w:val="16"/>
              </w:rPr>
              <w:t>« </w:t>
            </w:r>
            <w:r>
              <w:rPr>
                <w:rStyle w:val="Lienhypertexte"/>
                <w:color w:val="000000" w:themeColor="text1"/>
                <w:sz w:val="16"/>
              </w:rPr>
              <w:t>E</w:t>
            </w:r>
            <w:r w:rsidR="00FC3BD3">
              <w:rPr>
                <w:rStyle w:val="Lienhypertexte"/>
                <w:color w:val="000000" w:themeColor="text1"/>
                <w:sz w:val="16"/>
              </w:rPr>
              <w:t> »</w:t>
            </w:r>
            <w:r>
              <w:rPr>
                <w:rStyle w:val="Lienhypertexte"/>
                <w:color w:val="000000" w:themeColor="text1"/>
                <w:sz w:val="16"/>
              </w:rPr>
              <w:t>, cet indicateur est noté comme étant Sans objet. Les signataires ne seront pas pénalisés pour cet indicateur.</w:t>
            </w:r>
          </w:p>
        </w:tc>
      </w:tr>
      <w:tr w:rsidR="00D93C03" w:rsidRPr="003058F5" w14:paraId="11DA5310" w14:textId="77777777" w:rsidTr="00F15919">
        <w:trPr>
          <w:gridAfter w:val="1"/>
          <w:wAfter w:w="8" w:type="dxa"/>
          <w:trHeight w:val="300"/>
        </w:trPr>
        <w:tc>
          <w:tcPr>
            <w:tcW w:w="184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C88D5CE" w14:textId="77777777" w:rsidR="00D93C03" w:rsidRPr="003058F5" w:rsidDel="002635ED" w:rsidRDefault="00D93C03" w:rsidP="00082BCE">
            <w:pPr>
              <w:spacing w:line="240" w:lineRule="auto"/>
              <w:rPr>
                <w:b/>
                <w:bCs/>
                <w:sz w:val="16"/>
                <w:szCs w:val="16"/>
              </w:rPr>
            </w:pPr>
            <w:r>
              <w:rPr>
                <w:b/>
                <w:sz w:val="16"/>
              </w:rPr>
              <w:t>Multiplicateur</w:t>
            </w:r>
          </w:p>
        </w:tc>
        <w:tc>
          <w:tcPr>
            <w:tcW w:w="13022" w:type="dxa"/>
            <w:gridSpan w:val="7"/>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087F2C7C" w14:textId="396A1C6D" w:rsidR="00D93C03" w:rsidRPr="003058F5" w:rsidRDefault="0060497C" w:rsidP="00082BCE">
            <w:pPr>
              <w:rPr>
                <w:rStyle w:val="Lienhypertexte"/>
                <w:color w:val="000000" w:themeColor="text1"/>
              </w:rPr>
            </w:pPr>
            <w:r>
              <w:rPr>
                <w:rStyle w:val="Lienhypertexte"/>
                <w:color w:val="000000" w:themeColor="text1"/>
                <w:sz w:val="16"/>
              </w:rPr>
              <w:t xml:space="preserve">Le multiplicateur sera confirmé avant le cycle de </w:t>
            </w:r>
            <w:proofErr w:type="spellStart"/>
            <w:r>
              <w:rPr>
                <w:rStyle w:val="Lienhypertexte"/>
                <w:color w:val="000000" w:themeColor="text1"/>
                <w:sz w:val="16"/>
              </w:rPr>
              <w:t>reporting</w:t>
            </w:r>
            <w:proofErr w:type="spellEnd"/>
            <w:r>
              <w:rPr>
                <w:rStyle w:val="Lienhypertexte"/>
                <w:color w:val="000000" w:themeColor="text1"/>
                <w:sz w:val="16"/>
              </w:rPr>
              <w:t xml:space="preserve"> 2023 qui débutera à la mi-mai. </w:t>
            </w:r>
          </w:p>
        </w:tc>
      </w:tr>
    </w:tbl>
    <w:p w14:paraId="0B3910A9" w14:textId="77777777" w:rsidR="00EC0B39" w:rsidRPr="003058F5" w:rsidRDefault="00EC0B39">
      <w:pPr>
        <w:spacing w:after="160" w:line="259" w:lineRule="auto"/>
        <w:rPr>
          <w:sz w:val="16"/>
          <w:szCs w:val="16"/>
        </w:rPr>
      </w:pPr>
      <w:r>
        <w:br w:type="page"/>
      </w:r>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Layout w:type="fixed"/>
        <w:tblCellMar>
          <w:top w:w="57" w:type="dxa"/>
          <w:left w:w="113" w:type="dxa"/>
          <w:bottom w:w="57" w:type="dxa"/>
          <w:right w:w="113" w:type="dxa"/>
        </w:tblCellMar>
        <w:tblLook w:val="04A0" w:firstRow="1" w:lastRow="0" w:firstColumn="1" w:lastColumn="0" w:noHBand="0" w:noVBand="1"/>
      </w:tblPr>
      <w:tblGrid>
        <w:gridCol w:w="1843"/>
        <w:gridCol w:w="1556"/>
        <w:gridCol w:w="1271"/>
        <w:gridCol w:w="1272"/>
        <w:gridCol w:w="286"/>
        <w:gridCol w:w="986"/>
        <w:gridCol w:w="1272"/>
        <w:gridCol w:w="475"/>
        <w:gridCol w:w="800"/>
        <w:gridCol w:w="1136"/>
        <w:gridCol w:w="136"/>
        <w:gridCol w:w="1272"/>
        <w:gridCol w:w="574"/>
        <w:gridCol w:w="701"/>
        <w:gridCol w:w="1272"/>
        <w:gridCol w:w="8"/>
        <w:gridCol w:w="24"/>
      </w:tblGrid>
      <w:tr w:rsidR="00DC0AEC" w:rsidRPr="003058F5" w14:paraId="706D5E26" w14:textId="77777777" w:rsidTr="00936155">
        <w:trPr>
          <w:gridAfter w:val="1"/>
          <w:wAfter w:w="16" w:type="dxa"/>
          <w:trHeight w:val="367"/>
        </w:trPr>
        <w:tc>
          <w:tcPr>
            <w:tcW w:w="1843" w:type="dxa"/>
            <w:vMerge w:val="restart"/>
            <w:shd w:val="clear" w:color="auto" w:fill="DFF5F9"/>
            <w:vAlign w:val="center"/>
            <w:hideMark/>
          </w:tcPr>
          <w:p w14:paraId="2740EC3A" w14:textId="77777777" w:rsidR="00EC0B39" w:rsidRPr="003058F5" w:rsidRDefault="00EC0B39" w:rsidP="00082BCE">
            <w:pPr>
              <w:spacing w:line="240" w:lineRule="auto"/>
              <w:jc w:val="center"/>
              <w:textAlignment w:val="baseline"/>
              <w:rPr>
                <w:rFonts w:eastAsia="Times New Roman" w:cs="Arial"/>
                <w:b/>
                <w:sz w:val="14"/>
                <w:szCs w:val="14"/>
              </w:rPr>
            </w:pPr>
            <w:r>
              <w:rPr>
                <w:b/>
                <w:sz w:val="14"/>
              </w:rPr>
              <w:lastRenderedPageBreak/>
              <w:t>Identifiant de l’indicateur</w:t>
            </w:r>
          </w:p>
          <w:p w14:paraId="00B335D4" w14:textId="77777777" w:rsidR="00EC0B39" w:rsidRPr="003058F5" w:rsidRDefault="00EC0B39" w:rsidP="00082BCE">
            <w:pPr>
              <w:spacing w:line="240" w:lineRule="auto"/>
              <w:jc w:val="center"/>
              <w:textAlignment w:val="baseline"/>
              <w:rPr>
                <w:rFonts w:eastAsia="Times New Roman" w:cs="Arial"/>
                <w:b/>
                <w:sz w:val="14"/>
                <w:szCs w:val="14"/>
                <w:lang w:eastAsia="en-GB"/>
              </w:rPr>
            </w:pPr>
          </w:p>
          <w:p w14:paraId="7624C7CD" w14:textId="7F182086" w:rsidR="00EC0B39" w:rsidRPr="003058F5" w:rsidRDefault="00EC0B39" w:rsidP="00082BCE">
            <w:pPr>
              <w:pStyle w:val="Indicatorsubsection"/>
              <w:rPr>
                <w:sz w:val="18"/>
                <w:szCs w:val="18"/>
              </w:rPr>
            </w:pPr>
            <w:bookmarkStart w:id="24" w:name="_Toc128064116"/>
            <w:r>
              <w:t>HF 9</w:t>
            </w:r>
            <w:bookmarkEnd w:id="24"/>
          </w:p>
        </w:tc>
        <w:tc>
          <w:tcPr>
            <w:tcW w:w="1557" w:type="dxa"/>
            <w:shd w:val="clear" w:color="auto" w:fill="DFF5F9"/>
            <w:vAlign w:val="center"/>
            <w:hideMark/>
          </w:tcPr>
          <w:p w14:paraId="7C11EFBE" w14:textId="03F9B501" w:rsidR="00EC0B39" w:rsidRPr="003058F5" w:rsidRDefault="00F61763" w:rsidP="00082BCE">
            <w:pPr>
              <w:spacing w:line="240" w:lineRule="auto"/>
              <w:textAlignment w:val="baseline"/>
              <w:rPr>
                <w:rFonts w:eastAsia="Times New Roman" w:cs="Arial"/>
                <w:sz w:val="14"/>
                <w:szCs w:val="14"/>
              </w:rPr>
            </w:pPr>
            <w:r>
              <w:rPr>
                <w:b/>
                <w:sz w:val="14"/>
              </w:rPr>
              <w:t>Lien avec</w:t>
            </w:r>
            <w:r w:rsidR="000666BC">
              <w:rPr>
                <w:b/>
                <w:sz w:val="14"/>
              </w:rPr>
              <w:t> </w:t>
            </w:r>
            <w:r>
              <w:rPr>
                <w:b/>
                <w:sz w:val="14"/>
              </w:rPr>
              <w:t xml:space="preserve">: </w:t>
            </w:r>
          </w:p>
        </w:tc>
        <w:tc>
          <w:tcPr>
            <w:tcW w:w="2831" w:type="dxa"/>
            <w:gridSpan w:val="3"/>
            <w:shd w:val="clear" w:color="auto" w:fill="DFF5F9"/>
            <w:vAlign w:val="center"/>
          </w:tcPr>
          <w:p w14:paraId="57274388" w14:textId="36D14675" w:rsidR="00EC0B39" w:rsidRPr="003058F5" w:rsidRDefault="00740665" w:rsidP="00082BCE">
            <w:pPr>
              <w:spacing w:line="240" w:lineRule="auto"/>
              <w:textAlignment w:val="baseline"/>
              <w:rPr>
                <w:rFonts w:eastAsia="Times New Roman" w:cs="Arial"/>
                <w:sz w:val="14"/>
                <w:szCs w:val="14"/>
              </w:rPr>
            </w:pPr>
            <w:r>
              <w:rPr>
                <w:b/>
                <w:sz w:val="22"/>
              </w:rPr>
              <w:t>OO 21</w:t>
            </w:r>
          </w:p>
        </w:tc>
        <w:tc>
          <w:tcPr>
            <w:tcW w:w="4672" w:type="dxa"/>
            <w:gridSpan w:val="5"/>
            <w:vMerge w:val="restart"/>
            <w:shd w:val="clear" w:color="auto" w:fill="DFF5F9"/>
            <w:vAlign w:val="center"/>
          </w:tcPr>
          <w:p w14:paraId="1856ADD2" w14:textId="77777777" w:rsidR="00EC0B39" w:rsidRPr="003058F5" w:rsidRDefault="00EC0B39" w:rsidP="00082BCE">
            <w:pPr>
              <w:spacing w:line="240" w:lineRule="auto"/>
              <w:jc w:val="center"/>
              <w:textAlignment w:val="baseline"/>
              <w:rPr>
                <w:rFonts w:eastAsia="Times New Roman" w:cs="Arial"/>
                <w:sz w:val="14"/>
                <w:szCs w:val="14"/>
              </w:rPr>
            </w:pPr>
            <w:r>
              <w:rPr>
                <w:b/>
                <w:sz w:val="14"/>
              </w:rPr>
              <w:t>Sous-section</w:t>
            </w:r>
            <w:r>
              <w:rPr>
                <w:sz w:val="14"/>
              </w:rPr>
              <w:t> </w:t>
            </w:r>
          </w:p>
          <w:p w14:paraId="50571CF7" w14:textId="77777777" w:rsidR="00EC0B39" w:rsidRPr="003058F5" w:rsidRDefault="00EC0B39" w:rsidP="00082BCE">
            <w:pPr>
              <w:spacing w:line="240" w:lineRule="auto"/>
              <w:jc w:val="center"/>
              <w:textAlignment w:val="baseline"/>
              <w:rPr>
                <w:rFonts w:eastAsia="Times New Roman" w:cs="Arial"/>
                <w:sz w:val="14"/>
                <w:szCs w:val="14"/>
                <w:lang w:eastAsia="en-GB"/>
              </w:rPr>
            </w:pPr>
          </w:p>
          <w:p w14:paraId="38FF1B1A" w14:textId="50DCAC82" w:rsidR="00EC0B39" w:rsidRPr="003058F5" w:rsidRDefault="00EC0B39" w:rsidP="00082BCE">
            <w:pPr>
              <w:jc w:val="center"/>
              <w:rPr>
                <w:sz w:val="18"/>
                <w:szCs w:val="18"/>
              </w:rPr>
            </w:pPr>
            <w:r>
              <w:rPr>
                <w:b/>
                <w:sz w:val="22"/>
              </w:rPr>
              <w:t>Gestion des risques ESG</w:t>
            </w:r>
          </w:p>
        </w:tc>
        <w:tc>
          <w:tcPr>
            <w:tcW w:w="1983" w:type="dxa"/>
            <w:gridSpan w:val="3"/>
            <w:vMerge w:val="restart"/>
            <w:shd w:val="clear" w:color="auto" w:fill="DFF5F9"/>
            <w:vAlign w:val="center"/>
            <w:hideMark/>
          </w:tcPr>
          <w:p w14:paraId="2DBF9973" w14:textId="77777777" w:rsidR="00EC0B39" w:rsidRPr="003058F5" w:rsidRDefault="00EC0B39" w:rsidP="00082BCE">
            <w:pPr>
              <w:spacing w:line="240" w:lineRule="auto"/>
              <w:jc w:val="center"/>
              <w:textAlignment w:val="baseline"/>
              <w:rPr>
                <w:rFonts w:eastAsia="Times New Roman" w:cs="Arial"/>
                <w:b/>
                <w:bCs/>
                <w:sz w:val="14"/>
                <w:szCs w:val="14"/>
              </w:rPr>
            </w:pPr>
            <w:r>
              <w:rPr>
                <w:b/>
                <w:sz w:val="14"/>
              </w:rPr>
              <w:t>Principe des PRI</w:t>
            </w:r>
          </w:p>
          <w:p w14:paraId="2A6EA4EC" w14:textId="77777777" w:rsidR="00EC0B39" w:rsidRPr="003058F5" w:rsidRDefault="00EC0B39" w:rsidP="00082BCE">
            <w:pPr>
              <w:spacing w:line="240" w:lineRule="auto"/>
              <w:jc w:val="center"/>
              <w:textAlignment w:val="baseline"/>
              <w:rPr>
                <w:rFonts w:eastAsia="Times New Roman" w:cs="Arial"/>
                <w:b/>
                <w:bCs/>
                <w:sz w:val="14"/>
                <w:szCs w:val="14"/>
                <w:lang w:eastAsia="en-GB"/>
              </w:rPr>
            </w:pPr>
          </w:p>
          <w:p w14:paraId="71B9CAE5" w14:textId="02152389" w:rsidR="00EC0B39" w:rsidRPr="003058F5" w:rsidRDefault="00EC0B39" w:rsidP="00082BCE">
            <w:pPr>
              <w:spacing w:line="240" w:lineRule="auto"/>
              <w:jc w:val="center"/>
              <w:textAlignment w:val="baseline"/>
              <w:rPr>
                <w:rFonts w:eastAsia="Times New Roman" w:cs="Arial"/>
                <w:sz w:val="18"/>
                <w:szCs w:val="18"/>
              </w:rPr>
            </w:pPr>
            <w:r>
              <w:rPr>
                <w:b/>
                <w:sz w:val="22"/>
              </w:rPr>
              <w:t>1</w:t>
            </w:r>
          </w:p>
        </w:tc>
        <w:tc>
          <w:tcPr>
            <w:tcW w:w="1982" w:type="dxa"/>
            <w:gridSpan w:val="3"/>
            <w:vMerge w:val="restart"/>
            <w:shd w:val="clear" w:color="auto" w:fill="00B0F0"/>
            <w:tcMar>
              <w:top w:w="113" w:type="dxa"/>
              <w:left w:w="113" w:type="dxa"/>
              <w:bottom w:w="113" w:type="dxa"/>
              <w:right w:w="113" w:type="dxa"/>
            </w:tcMar>
            <w:vAlign w:val="center"/>
            <w:hideMark/>
          </w:tcPr>
          <w:p w14:paraId="7FA9B93C" w14:textId="77777777" w:rsidR="00EC0B39" w:rsidRPr="003058F5" w:rsidRDefault="00EC0B39" w:rsidP="00082BCE">
            <w:pPr>
              <w:spacing w:line="240" w:lineRule="auto"/>
              <w:jc w:val="center"/>
              <w:textAlignment w:val="baseline"/>
              <w:rPr>
                <w:rFonts w:eastAsia="Times New Roman" w:cs="Arial"/>
                <w:b/>
                <w:bCs/>
                <w:color w:val="FFFFFF" w:themeColor="background1"/>
                <w:sz w:val="14"/>
                <w:szCs w:val="14"/>
              </w:rPr>
            </w:pPr>
            <w:r>
              <w:rPr>
                <w:b/>
                <w:color w:val="FFFFFF" w:themeColor="background1"/>
                <w:sz w:val="14"/>
              </w:rPr>
              <w:t>Type d'indicateur</w:t>
            </w:r>
          </w:p>
          <w:p w14:paraId="2D34315A" w14:textId="77777777" w:rsidR="00EC0B39" w:rsidRPr="003058F5" w:rsidRDefault="00EC0B39" w:rsidP="00082BCE">
            <w:pPr>
              <w:spacing w:line="240" w:lineRule="auto"/>
              <w:jc w:val="center"/>
              <w:textAlignment w:val="baseline"/>
              <w:rPr>
                <w:rFonts w:eastAsia="Times New Roman" w:cs="Arial"/>
                <w:b/>
                <w:bCs/>
                <w:color w:val="FFFFFF" w:themeColor="background1"/>
                <w:sz w:val="14"/>
                <w:szCs w:val="14"/>
                <w:lang w:eastAsia="en-GB"/>
              </w:rPr>
            </w:pPr>
          </w:p>
          <w:p w14:paraId="46561B98" w14:textId="77777777" w:rsidR="00EC0B39" w:rsidRPr="003058F5" w:rsidRDefault="00EC0B39" w:rsidP="00082BCE">
            <w:pPr>
              <w:autoSpaceDE w:val="0"/>
              <w:autoSpaceDN w:val="0"/>
              <w:adjustRightInd w:val="0"/>
              <w:spacing w:line="240" w:lineRule="auto"/>
              <w:jc w:val="center"/>
              <w:rPr>
                <w:rFonts w:eastAsia="Times New Roman" w:cs="Arial"/>
                <w:color w:val="FFFFFF" w:themeColor="background1"/>
                <w:sz w:val="32"/>
                <w:szCs w:val="32"/>
              </w:rPr>
            </w:pPr>
            <w:r>
              <w:rPr>
                <w:b/>
                <w:color w:val="FFFFFF" w:themeColor="background1"/>
                <w:sz w:val="32"/>
              </w:rPr>
              <w:t>CORE</w:t>
            </w:r>
          </w:p>
        </w:tc>
      </w:tr>
      <w:tr w:rsidR="00DC0AEC" w:rsidRPr="003058F5" w14:paraId="7BC2D1EB" w14:textId="77777777" w:rsidTr="00936155">
        <w:trPr>
          <w:gridAfter w:val="1"/>
          <w:wAfter w:w="16" w:type="dxa"/>
          <w:trHeight w:val="367"/>
        </w:trPr>
        <w:tc>
          <w:tcPr>
            <w:tcW w:w="1843" w:type="dxa"/>
            <w:vMerge/>
            <w:shd w:val="clear" w:color="auto" w:fill="DFF5F9"/>
            <w:vAlign w:val="center"/>
          </w:tcPr>
          <w:p w14:paraId="2EC1C008" w14:textId="77777777" w:rsidR="00EC0B39" w:rsidRPr="003058F5" w:rsidRDefault="00EC0B39" w:rsidP="00082BCE">
            <w:pPr>
              <w:spacing w:line="240" w:lineRule="auto"/>
              <w:jc w:val="center"/>
              <w:textAlignment w:val="baseline"/>
              <w:rPr>
                <w:rFonts w:eastAsia="Times New Roman" w:cs="Arial"/>
                <w:b/>
                <w:sz w:val="14"/>
                <w:szCs w:val="14"/>
                <w:lang w:eastAsia="en-GB"/>
              </w:rPr>
            </w:pPr>
          </w:p>
        </w:tc>
        <w:tc>
          <w:tcPr>
            <w:tcW w:w="1557" w:type="dxa"/>
            <w:shd w:val="clear" w:color="auto" w:fill="DFF5F9"/>
            <w:vAlign w:val="center"/>
          </w:tcPr>
          <w:p w14:paraId="59F0BFDB" w14:textId="77D43DDE" w:rsidR="00EC0B39" w:rsidRPr="003058F5" w:rsidRDefault="00EC0B39" w:rsidP="00082BCE">
            <w:pPr>
              <w:spacing w:line="240" w:lineRule="auto"/>
              <w:textAlignment w:val="baseline"/>
              <w:rPr>
                <w:rFonts w:eastAsia="Times New Roman" w:cs="Arial"/>
                <w:b/>
                <w:sz w:val="14"/>
                <w:szCs w:val="14"/>
              </w:rPr>
            </w:pPr>
            <w:r>
              <w:rPr>
                <w:b/>
                <w:sz w:val="14"/>
              </w:rPr>
              <w:t>Accès à</w:t>
            </w:r>
            <w:r w:rsidR="00767929">
              <w:rPr>
                <w:b/>
                <w:sz w:val="14"/>
              </w:rPr>
              <w:t> :</w:t>
            </w:r>
          </w:p>
        </w:tc>
        <w:tc>
          <w:tcPr>
            <w:tcW w:w="2831" w:type="dxa"/>
            <w:gridSpan w:val="3"/>
            <w:shd w:val="clear" w:color="auto" w:fill="DFF5F9"/>
            <w:vAlign w:val="center"/>
          </w:tcPr>
          <w:p w14:paraId="03FD234E" w14:textId="4FE3E446" w:rsidR="00EC0B39" w:rsidRPr="003058F5" w:rsidRDefault="003D7232" w:rsidP="00082BCE">
            <w:pPr>
              <w:spacing w:line="240" w:lineRule="auto"/>
              <w:textAlignment w:val="baseline"/>
              <w:rPr>
                <w:rFonts w:eastAsia="Times New Roman" w:cs="Arial"/>
                <w:b/>
                <w:sz w:val="14"/>
                <w:szCs w:val="14"/>
              </w:rPr>
            </w:pPr>
            <w:r>
              <w:rPr>
                <w:b/>
                <w:sz w:val="22"/>
              </w:rPr>
              <w:t>Sans objet</w:t>
            </w:r>
          </w:p>
        </w:tc>
        <w:tc>
          <w:tcPr>
            <w:tcW w:w="4672" w:type="dxa"/>
            <w:gridSpan w:val="5"/>
            <w:vMerge/>
            <w:shd w:val="clear" w:color="auto" w:fill="DFF5F9"/>
            <w:vAlign w:val="center"/>
          </w:tcPr>
          <w:p w14:paraId="21402CA6" w14:textId="77777777" w:rsidR="00EC0B39" w:rsidRPr="003058F5" w:rsidRDefault="00EC0B39" w:rsidP="00082BCE">
            <w:pPr>
              <w:spacing w:line="240" w:lineRule="auto"/>
              <w:jc w:val="center"/>
              <w:textAlignment w:val="baseline"/>
              <w:rPr>
                <w:rFonts w:eastAsia="Times New Roman" w:cs="Arial"/>
                <w:b/>
                <w:sz w:val="14"/>
                <w:szCs w:val="14"/>
                <w:lang w:eastAsia="en-GB"/>
              </w:rPr>
            </w:pPr>
          </w:p>
        </w:tc>
        <w:tc>
          <w:tcPr>
            <w:tcW w:w="1983" w:type="dxa"/>
            <w:gridSpan w:val="3"/>
            <w:vMerge/>
            <w:shd w:val="clear" w:color="auto" w:fill="DFF5F9"/>
            <w:vAlign w:val="center"/>
          </w:tcPr>
          <w:p w14:paraId="35FD9075" w14:textId="77777777" w:rsidR="00EC0B39" w:rsidRPr="003058F5" w:rsidRDefault="00EC0B39" w:rsidP="00082BCE">
            <w:pPr>
              <w:spacing w:line="240" w:lineRule="auto"/>
              <w:jc w:val="center"/>
              <w:textAlignment w:val="baseline"/>
              <w:rPr>
                <w:rFonts w:eastAsia="Times New Roman" w:cs="Arial"/>
                <w:b/>
                <w:bCs/>
                <w:sz w:val="14"/>
                <w:szCs w:val="14"/>
                <w:lang w:eastAsia="en-GB"/>
              </w:rPr>
            </w:pPr>
          </w:p>
        </w:tc>
        <w:tc>
          <w:tcPr>
            <w:tcW w:w="1982" w:type="dxa"/>
            <w:gridSpan w:val="3"/>
            <w:vMerge/>
            <w:shd w:val="clear" w:color="auto" w:fill="00B0F0"/>
            <w:tcMar>
              <w:top w:w="113" w:type="dxa"/>
              <w:left w:w="113" w:type="dxa"/>
              <w:bottom w:w="113" w:type="dxa"/>
              <w:right w:w="113" w:type="dxa"/>
            </w:tcMar>
            <w:vAlign w:val="center"/>
          </w:tcPr>
          <w:p w14:paraId="5B9B9C2A" w14:textId="77777777" w:rsidR="00EC0B39" w:rsidRPr="003058F5" w:rsidRDefault="00EC0B39" w:rsidP="00082BCE">
            <w:pPr>
              <w:spacing w:line="240" w:lineRule="auto"/>
              <w:jc w:val="center"/>
              <w:textAlignment w:val="baseline"/>
              <w:rPr>
                <w:rFonts w:eastAsia="Times New Roman" w:cs="Arial"/>
                <w:b/>
                <w:bCs/>
                <w:color w:val="FFFFFF" w:themeColor="background1"/>
                <w:sz w:val="14"/>
                <w:szCs w:val="14"/>
                <w:lang w:eastAsia="en-GB"/>
              </w:rPr>
            </w:pPr>
          </w:p>
        </w:tc>
      </w:tr>
      <w:tr w:rsidR="002E23E5" w:rsidRPr="003058F5" w14:paraId="11D7BB61" w14:textId="77777777" w:rsidTr="00F15919">
        <w:trPr>
          <w:gridAfter w:val="2"/>
          <w:wAfter w:w="24" w:type="dxa"/>
          <w:trHeight w:val="567"/>
        </w:trPr>
        <w:tc>
          <w:tcPr>
            <w:tcW w:w="14860" w:type="dxa"/>
            <w:gridSpan w:val="15"/>
            <w:shd w:val="clear" w:color="auto" w:fill="FFFFFF" w:themeFill="background1"/>
            <w:tcMar>
              <w:top w:w="113" w:type="dxa"/>
              <w:left w:w="113" w:type="dxa"/>
              <w:bottom w:w="113" w:type="dxa"/>
              <w:right w:w="113" w:type="dxa"/>
            </w:tcMar>
            <w:vAlign w:val="center"/>
            <w:hideMark/>
          </w:tcPr>
          <w:p w14:paraId="7BFC1C54" w14:textId="73782B29" w:rsidR="002E23E5" w:rsidRPr="003058F5" w:rsidRDefault="00F94764" w:rsidP="002E23E5">
            <w:pPr>
              <w:spacing w:line="276" w:lineRule="auto"/>
              <w:textAlignment w:val="baseline"/>
              <w:rPr>
                <w:rFonts w:eastAsia="Times New Roman" w:cs="Arial"/>
                <w:b/>
              </w:rPr>
            </w:pPr>
            <w:r>
              <w:rPr>
                <w:b/>
              </w:rPr>
              <w:t xml:space="preserve">Pour la majorité de vos fonds spéculatifs, disposez-vous d’un processus formel permettant d’identifier et de prendre en compte les </w:t>
            </w:r>
            <w:hyperlink r:id="rId68" w:history="1">
              <w:r>
                <w:rPr>
                  <w:rStyle w:val="Lienhypertexte"/>
                  <w:b/>
                </w:rPr>
                <w:t xml:space="preserve">risques </w:t>
              </w:r>
            </w:hyperlink>
            <w:r>
              <w:rPr>
                <w:rStyle w:val="Lienhypertexte"/>
                <w:b/>
                <w:color w:val="auto"/>
              </w:rPr>
              <w:t>et</w:t>
            </w:r>
            <w:r>
              <w:rPr>
                <w:rStyle w:val="Lienhypertexte"/>
                <w:b/>
              </w:rPr>
              <w:t xml:space="preserve"> incidents ESG </w:t>
            </w:r>
            <w:r>
              <w:rPr>
                <w:rStyle w:val="Lienhypertexte"/>
                <w:b/>
                <w:color w:val="auto"/>
              </w:rPr>
              <w:t>majeurs dans votre processus de gestion des risques</w:t>
            </w:r>
            <w:r w:rsidR="00767929">
              <w:t> ?</w:t>
            </w:r>
          </w:p>
        </w:tc>
      </w:tr>
      <w:tr w:rsidR="006B4F10" w:rsidRPr="003058F5" w14:paraId="4B549DEE" w14:textId="77777777" w:rsidTr="00936155">
        <w:trPr>
          <w:trHeight w:val="25"/>
        </w:trPr>
        <w:tc>
          <w:tcPr>
            <w:tcW w:w="3400" w:type="dxa"/>
            <w:gridSpan w:val="2"/>
            <w:vMerge w:val="restart"/>
            <w:shd w:val="clear" w:color="auto" w:fill="FFFFFF" w:themeFill="background1"/>
            <w:tcMar>
              <w:top w:w="113" w:type="dxa"/>
              <w:left w:w="113" w:type="dxa"/>
              <w:bottom w:w="113" w:type="dxa"/>
              <w:right w:w="113" w:type="dxa"/>
            </w:tcMar>
            <w:vAlign w:val="center"/>
            <w:hideMark/>
          </w:tcPr>
          <w:p w14:paraId="4A96B6A6" w14:textId="77777777" w:rsidR="0060500B" w:rsidRPr="003058F5" w:rsidRDefault="0060500B" w:rsidP="00082BCE">
            <w:pPr>
              <w:spacing w:line="276" w:lineRule="auto"/>
              <w:textAlignment w:val="baseline"/>
              <w:rPr>
                <w:rFonts w:eastAsia="Times New Roman" w:cs="Arial"/>
                <w:b/>
                <w:szCs w:val="16"/>
                <w:lang w:eastAsia="en-GB"/>
              </w:rPr>
            </w:pPr>
          </w:p>
        </w:tc>
        <w:tc>
          <w:tcPr>
            <w:tcW w:w="11484" w:type="dxa"/>
            <w:gridSpan w:val="15"/>
            <w:tcBorders>
              <w:bottom w:val="single" w:sz="6" w:space="0" w:color="A6A6A6" w:themeColor="background1" w:themeShade="A6"/>
            </w:tcBorders>
            <w:shd w:val="clear" w:color="auto" w:fill="F2F2F2" w:themeFill="background1" w:themeFillShade="F2"/>
            <w:vAlign w:val="center"/>
          </w:tcPr>
          <w:p w14:paraId="1C3C2B44" w14:textId="131FFA32" w:rsidR="0060500B" w:rsidRPr="003058F5" w:rsidRDefault="0060500B" w:rsidP="00A75BAB">
            <w:pPr>
              <w:spacing w:line="276" w:lineRule="auto"/>
              <w:jc w:val="center"/>
              <w:textAlignment w:val="baseline"/>
              <w:rPr>
                <w:rFonts w:eastAsia="Times New Roman" w:cs="Arial"/>
                <w:b/>
                <w:szCs w:val="16"/>
              </w:rPr>
            </w:pPr>
            <w:r>
              <w:rPr>
                <w:b/>
              </w:rPr>
              <w:t>Stratégies relatives aux fonds spéculatifs gérés en interne</w:t>
            </w:r>
          </w:p>
        </w:tc>
      </w:tr>
      <w:tr w:rsidR="00F94764" w:rsidRPr="003058F5" w14:paraId="0A2B5175" w14:textId="77777777" w:rsidTr="00936155">
        <w:trPr>
          <w:gridAfter w:val="1"/>
          <w:wAfter w:w="16" w:type="dxa"/>
          <w:trHeight w:val="465"/>
        </w:trPr>
        <w:tc>
          <w:tcPr>
            <w:tcW w:w="3400" w:type="dxa"/>
            <w:gridSpan w:val="2"/>
            <w:vMerge/>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2D4731A3" w14:textId="77777777" w:rsidR="0060500B" w:rsidRPr="003058F5" w:rsidRDefault="0060500B" w:rsidP="00082BCE">
            <w:pPr>
              <w:spacing w:line="276" w:lineRule="auto"/>
              <w:textAlignment w:val="baseline"/>
              <w:rPr>
                <w:rFonts w:eastAsia="Times New Roman" w:cs="Arial"/>
                <w:b/>
                <w:szCs w:val="16"/>
                <w:lang w:eastAsia="en-GB"/>
              </w:rPr>
            </w:pPr>
          </w:p>
        </w:tc>
        <w:tc>
          <w:tcPr>
            <w:tcW w:w="1272" w:type="dxa"/>
            <w:shd w:val="clear" w:color="auto" w:fill="EDEDED" w:themeFill="accent3" w:themeFillTint="33"/>
            <w:vAlign w:val="center"/>
          </w:tcPr>
          <w:p w14:paraId="2E2E9FB4" w14:textId="4CCE115A" w:rsidR="00085D6F" w:rsidRPr="003058F5" w:rsidDel="00085D6F" w:rsidRDefault="00085D6F" w:rsidP="00845FCD">
            <w:pPr>
              <w:spacing w:line="276" w:lineRule="auto"/>
              <w:jc w:val="center"/>
              <w:textAlignment w:val="baseline"/>
              <w:rPr>
                <w:rFonts w:eastAsia="Times New Roman" w:cs="Arial"/>
                <w:b/>
                <w:sz w:val="18"/>
                <w:szCs w:val="14"/>
              </w:rPr>
            </w:pPr>
            <w:r>
              <w:rPr>
                <w:b/>
                <w:sz w:val="18"/>
              </w:rPr>
              <w:t>Toutes les stratégies</w:t>
            </w:r>
          </w:p>
        </w:tc>
        <w:tc>
          <w:tcPr>
            <w:tcW w:w="1273" w:type="dxa"/>
            <w:shd w:val="clear" w:color="auto" w:fill="FFFFFF" w:themeFill="background1"/>
            <w:vAlign w:val="center"/>
          </w:tcPr>
          <w:p w14:paraId="1F48133B" w14:textId="678E9FEF" w:rsidR="0060500B" w:rsidRPr="003058F5" w:rsidRDefault="0060500B" w:rsidP="00845FCD">
            <w:pPr>
              <w:spacing w:line="276" w:lineRule="auto"/>
              <w:jc w:val="center"/>
              <w:textAlignment w:val="baseline"/>
              <w:rPr>
                <w:rFonts w:eastAsia="Times New Roman" w:cs="Arial"/>
                <w:b/>
                <w:sz w:val="18"/>
                <w:szCs w:val="14"/>
              </w:rPr>
            </w:pPr>
            <w:r>
              <w:rPr>
                <w:b/>
                <w:sz w:val="18"/>
              </w:rPr>
              <w:t xml:space="preserve">(1) </w:t>
            </w:r>
            <w:hyperlink r:id="rId69" w:history="1">
              <w:r>
                <w:rPr>
                  <w:rStyle w:val="Lienhypertexte"/>
                  <w:b/>
                  <w:sz w:val="18"/>
                </w:rPr>
                <w:t>Multi-stratégies</w:t>
              </w:r>
            </w:hyperlink>
          </w:p>
        </w:tc>
        <w:tc>
          <w:tcPr>
            <w:tcW w:w="1273" w:type="dxa"/>
            <w:gridSpan w:val="2"/>
            <w:tcBorders>
              <w:bottom w:val="single" w:sz="6" w:space="0" w:color="A6A6A6" w:themeColor="background1" w:themeShade="A6"/>
            </w:tcBorders>
            <w:shd w:val="clear" w:color="auto" w:fill="FFFFFF" w:themeFill="background1"/>
            <w:vAlign w:val="center"/>
          </w:tcPr>
          <w:p w14:paraId="2B16902F" w14:textId="659A7514" w:rsidR="0060500B" w:rsidRPr="003058F5" w:rsidRDefault="0060500B" w:rsidP="00845FCD">
            <w:pPr>
              <w:spacing w:line="276" w:lineRule="auto"/>
              <w:jc w:val="center"/>
              <w:textAlignment w:val="baseline"/>
              <w:rPr>
                <w:rFonts w:eastAsia="Times New Roman" w:cs="Arial"/>
                <w:b/>
                <w:sz w:val="18"/>
                <w:szCs w:val="14"/>
              </w:rPr>
            </w:pPr>
            <w:r>
              <w:rPr>
                <w:b/>
                <w:sz w:val="18"/>
              </w:rPr>
              <w:t xml:space="preserve">(2) </w:t>
            </w:r>
            <w:r>
              <w:t xml:space="preserve">Stratégies </w:t>
            </w:r>
            <w:hyperlink r:id="rId70" w:history="1">
              <w:r>
                <w:rPr>
                  <w:rStyle w:val="Lienhypertexte"/>
                  <w:b/>
                  <w:sz w:val="18"/>
                </w:rPr>
                <w:t>long/short actions</w:t>
              </w:r>
            </w:hyperlink>
          </w:p>
        </w:tc>
        <w:tc>
          <w:tcPr>
            <w:tcW w:w="1273" w:type="dxa"/>
            <w:tcBorders>
              <w:bottom w:val="single" w:sz="6" w:space="0" w:color="A6A6A6" w:themeColor="background1" w:themeShade="A6"/>
            </w:tcBorders>
            <w:shd w:val="clear" w:color="auto" w:fill="FFFFFF" w:themeFill="background1"/>
            <w:vAlign w:val="center"/>
          </w:tcPr>
          <w:p w14:paraId="1BA61512" w14:textId="718A77A0" w:rsidR="0060500B" w:rsidRPr="003058F5" w:rsidRDefault="0060500B" w:rsidP="00845FCD">
            <w:pPr>
              <w:spacing w:line="276" w:lineRule="auto"/>
              <w:jc w:val="center"/>
              <w:textAlignment w:val="baseline"/>
              <w:rPr>
                <w:rFonts w:eastAsia="Times New Roman" w:cs="Arial"/>
                <w:b/>
                <w:sz w:val="18"/>
                <w:szCs w:val="14"/>
              </w:rPr>
            </w:pPr>
            <w:r>
              <w:rPr>
                <w:b/>
                <w:sz w:val="18"/>
              </w:rPr>
              <w:t xml:space="preserve">(3) </w:t>
            </w:r>
            <w:r>
              <w:rPr>
                <w:b/>
                <w:bCs/>
                <w:sz w:val="18"/>
              </w:rPr>
              <w:t>Stratégies</w:t>
            </w:r>
            <w:r>
              <w:rPr>
                <w:b/>
                <w:sz w:val="18"/>
              </w:rPr>
              <w:t xml:space="preserve"> </w:t>
            </w:r>
            <w:hyperlink r:id="rId71" w:history="1">
              <w:r>
                <w:rPr>
                  <w:rStyle w:val="Lienhypertexte"/>
                  <w:b/>
                  <w:sz w:val="18"/>
                </w:rPr>
                <w:t>long/short crédit</w:t>
              </w:r>
            </w:hyperlink>
          </w:p>
        </w:tc>
        <w:tc>
          <w:tcPr>
            <w:tcW w:w="1275" w:type="dxa"/>
            <w:gridSpan w:val="2"/>
            <w:tcBorders>
              <w:bottom w:val="single" w:sz="6" w:space="0" w:color="A6A6A6" w:themeColor="background1" w:themeShade="A6"/>
            </w:tcBorders>
            <w:shd w:val="clear" w:color="auto" w:fill="FFFFFF" w:themeFill="background1"/>
            <w:vAlign w:val="center"/>
          </w:tcPr>
          <w:p w14:paraId="4D831DA5" w14:textId="681C1C86" w:rsidR="0060500B" w:rsidRPr="003058F5" w:rsidRDefault="0060500B" w:rsidP="00845FCD">
            <w:pPr>
              <w:spacing w:line="276" w:lineRule="auto"/>
              <w:jc w:val="center"/>
              <w:textAlignment w:val="baseline"/>
              <w:rPr>
                <w:rFonts w:eastAsia="Times New Roman" w:cs="Arial"/>
                <w:b/>
                <w:sz w:val="18"/>
                <w:szCs w:val="14"/>
              </w:rPr>
            </w:pPr>
            <w:r>
              <w:rPr>
                <w:b/>
                <w:sz w:val="18"/>
              </w:rPr>
              <w:t xml:space="preserve">(4) </w:t>
            </w:r>
            <w:hyperlink r:id="rId72" w:history="1">
              <w:r>
                <w:rPr>
                  <w:rStyle w:val="Lienhypertexte"/>
                  <w:b/>
                  <w:sz w:val="18"/>
                </w:rPr>
                <w:t>Dette décotée (</w:t>
              </w:r>
              <w:proofErr w:type="spellStart"/>
              <w:r>
                <w:rPr>
                  <w:rStyle w:val="Lienhypertexte"/>
                  <w:b/>
                  <w:i/>
                  <w:iCs/>
                  <w:sz w:val="18"/>
                </w:rPr>
                <w:t>distressed</w:t>
              </w:r>
              <w:proofErr w:type="spellEnd"/>
              <w:r>
                <w:rPr>
                  <w:rStyle w:val="Lienhypertexte"/>
                  <w:b/>
                  <w:sz w:val="18"/>
                </w:rPr>
                <w:t>), situations spéciales et stratégie fondamentale faisant suite à un événement</w:t>
              </w:r>
            </w:hyperlink>
          </w:p>
        </w:tc>
        <w:tc>
          <w:tcPr>
            <w:tcW w:w="1273" w:type="dxa"/>
            <w:gridSpan w:val="2"/>
            <w:tcBorders>
              <w:bottom w:val="single" w:sz="6" w:space="0" w:color="A6A6A6" w:themeColor="background1" w:themeShade="A6"/>
            </w:tcBorders>
            <w:shd w:val="clear" w:color="auto" w:fill="FFFFFF" w:themeFill="background1"/>
            <w:vAlign w:val="center"/>
          </w:tcPr>
          <w:p w14:paraId="3A150F12" w14:textId="197F33FF" w:rsidR="0060500B" w:rsidRPr="003058F5" w:rsidRDefault="0060500B" w:rsidP="00845FCD">
            <w:pPr>
              <w:spacing w:line="276" w:lineRule="auto"/>
              <w:jc w:val="center"/>
              <w:textAlignment w:val="baseline"/>
              <w:rPr>
                <w:rFonts w:eastAsia="Times New Roman" w:cs="Arial"/>
                <w:b/>
                <w:sz w:val="18"/>
                <w:szCs w:val="14"/>
              </w:rPr>
            </w:pPr>
            <w:r>
              <w:rPr>
                <w:b/>
                <w:sz w:val="18"/>
              </w:rPr>
              <w:t xml:space="preserve">(5) </w:t>
            </w:r>
            <w:hyperlink r:id="rId73" w:history="1">
              <w:r>
                <w:rPr>
                  <w:rStyle w:val="Lienhypertexte"/>
                  <w:b/>
                  <w:sz w:val="18"/>
                </w:rPr>
                <w:t>Crédit structuré</w:t>
              </w:r>
            </w:hyperlink>
          </w:p>
        </w:tc>
        <w:tc>
          <w:tcPr>
            <w:tcW w:w="1273" w:type="dxa"/>
            <w:tcBorders>
              <w:bottom w:val="single" w:sz="6" w:space="0" w:color="A6A6A6" w:themeColor="background1" w:themeShade="A6"/>
            </w:tcBorders>
            <w:shd w:val="clear" w:color="auto" w:fill="FFFFFF" w:themeFill="background1"/>
            <w:vAlign w:val="center"/>
          </w:tcPr>
          <w:p w14:paraId="54EFEDFE" w14:textId="3B79C8D6" w:rsidR="0060500B" w:rsidRPr="003058F5" w:rsidRDefault="0060500B" w:rsidP="00845FCD">
            <w:pPr>
              <w:spacing w:line="276" w:lineRule="auto"/>
              <w:jc w:val="center"/>
              <w:textAlignment w:val="baseline"/>
              <w:rPr>
                <w:rFonts w:eastAsia="Times New Roman" w:cs="Arial"/>
                <w:b/>
                <w:sz w:val="18"/>
                <w:szCs w:val="14"/>
              </w:rPr>
            </w:pPr>
            <w:r>
              <w:rPr>
                <w:b/>
                <w:sz w:val="18"/>
              </w:rPr>
              <w:t xml:space="preserve">(6) </w:t>
            </w:r>
            <w:r>
              <w:t xml:space="preserve">Stratégies </w:t>
            </w:r>
            <w:r w:rsidR="00FC3BD3">
              <w:t>« </w:t>
            </w:r>
            <w:hyperlink r:id="rId74" w:history="1">
              <w:r>
                <w:rPr>
                  <w:rStyle w:val="Lienhypertexte"/>
                  <w:b/>
                  <w:sz w:val="18"/>
                </w:rPr>
                <w:t>Global macro</w:t>
              </w:r>
            </w:hyperlink>
            <w:r w:rsidR="00FC3BD3">
              <w:t> »</w:t>
            </w:r>
          </w:p>
        </w:tc>
        <w:tc>
          <w:tcPr>
            <w:tcW w:w="1275" w:type="dxa"/>
            <w:gridSpan w:val="2"/>
            <w:tcBorders>
              <w:bottom w:val="single" w:sz="6" w:space="0" w:color="A6A6A6" w:themeColor="background1" w:themeShade="A6"/>
            </w:tcBorders>
            <w:shd w:val="clear" w:color="auto" w:fill="FFFFFF" w:themeFill="background1"/>
            <w:vAlign w:val="center"/>
          </w:tcPr>
          <w:p w14:paraId="138A1BEB" w14:textId="08F43321" w:rsidR="0060500B" w:rsidRPr="003058F5" w:rsidRDefault="0060500B" w:rsidP="00845FCD">
            <w:pPr>
              <w:spacing w:line="276" w:lineRule="auto"/>
              <w:jc w:val="center"/>
              <w:textAlignment w:val="baseline"/>
              <w:rPr>
                <w:rFonts w:eastAsia="Times New Roman" w:cs="Arial"/>
                <w:b/>
                <w:sz w:val="18"/>
                <w:szCs w:val="14"/>
              </w:rPr>
            </w:pPr>
            <w:r>
              <w:rPr>
                <w:b/>
                <w:sz w:val="18"/>
              </w:rPr>
              <w:t xml:space="preserve">(7) </w:t>
            </w:r>
            <w:hyperlink r:id="rId75" w:history="1">
              <w:r>
                <w:rPr>
                  <w:rStyle w:val="Lienhypertexte"/>
                  <w:b/>
                  <w:sz w:val="18"/>
                </w:rPr>
                <w:t>Stratégies de CTA (</w:t>
              </w:r>
              <w:proofErr w:type="spellStart"/>
              <w:r>
                <w:rPr>
                  <w:rStyle w:val="Lienhypertexte"/>
                  <w:b/>
                  <w:i/>
                  <w:iCs/>
                  <w:sz w:val="18"/>
                </w:rPr>
                <w:t>Commodity</w:t>
              </w:r>
              <w:proofErr w:type="spellEnd"/>
              <w:r>
                <w:rPr>
                  <w:rStyle w:val="Lienhypertexte"/>
                  <w:b/>
                  <w:i/>
                  <w:iCs/>
                  <w:sz w:val="18"/>
                </w:rPr>
                <w:t xml:space="preserve"> trading </w:t>
              </w:r>
              <w:proofErr w:type="spellStart"/>
              <w:r>
                <w:rPr>
                  <w:rStyle w:val="Lienhypertexte"/>
                  <w:b/>
                  <w:i/>
                  <w:iCs/>
                  <w:sz w:val="18"/>
                </w:rPr>
                <w:t>advisor</w:t>
              </w:r>
              <w:proofErr w:type="spellEnd"/>
              <w:r>
                <w:rPr>
                  <w:rStyle w:val="Lienhypertexte"/>
                  <w:b/>
                  <w:sz w:val="18"/>
                </w:rPr>
                <w:t>)</w:t>
              </w:r>
            </w:hyperlink>
          </w:p>
        </w:tc>
        <w:tc>
          <w:tcPr>
            <w:tcW w:w="1281" w:type="dxa"/>
            <w:gridSpan w:val="2"/>
            <w:tcBorders>
              <w:bottom w:val="single" w:sz="6" w:space="0" w:color="A6A6A6" w:themeColor="background1" w:themeShade="A6"/>
            </w:tcBorders>
            <w:shd w:val="clear" w:color="auto" w:fill="FFFFFF" w:themeFill="background1"/>
            <w:vAlign w:val="center"/>
          </w:tcPr>
          <w:p w14:paraId="345DB667" w14:textId="62A3693D" w:rsidR="0060500B" w:rsidRPr="003058F5" w:rsidRDefault="0060500B" w:rsidP="00845FCD">
            <w:pPr>
              <w:spacing w:line="276" w:lineRule="auto"/>
              <w:jc w:val="center"/>
              <w:textAlignment w:val="baseline"/>
              <w:rPr>
                <w:rFonts w:eastAsia="Times New Roman" w:cs="Arial"/>
                <w:b/>
                <w:sz w:val="18"/>
                <w:szCs w:val="14"/>
              </w:rPr>
            </w:pPr>
            <w:r>
              <w:rPr>
                <w:b/>
                <w:sz w:val="18"/>
              </w:rPr>
              <w:t>(8) Autres stratégies</w:t>
            </w:r>
          </w:p>
        </w:tc>
      </w:tr>
      <w:tr w:rsidR="00F94764" w:rsidRPr="003058F5" w14:paraId="1405404A" w14:textId="77777777" w:rsidTr="00936155">
        <w:trPr>
          <w:gridAfter w:val="1"/>
          <w:wAfter w:w="24" w:type="dxa"/>
          <w:trHeight w:val="465"/>
        </w:trPr>
        <w:tc>
          <w:tcPr>
            <w:tcW w:w="3400"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0260B7A3" w14:textId="601BE610" w:rsidR="00BF028F" w:rsidRPr="003058F5" w:rsidRDefault="00711D6D" w:rsidP="00C638D6">
            <w:pPr>
              <w:spacing w:line="276" w:lineRule="auto"/>
              <w:textAlignment w:val="baseline"/>
              <w:rPr>
                <w:rFonts w:eastAsia="Times New Roman" w:cs="Arial"/>
                <w:szCs w:val="16"/>
              </w:rPr>
            </w:pPr>
            <w:r>
              <w:t>(A) Oui, notre processus formel comprend l'examen d'informations quantitatives et/ou qualitatives sur les risques et incidents ESG majeurs et leurs conséquences sur chaque titre, émetteur ou instrument financier</w:t>
            </w:r>
          </w:p>
        </w:tc>
        <w:tc>
          <w:tcPr>
            <w:tcW w:w="1272" w:type="dxa"/>
            <w:shd w:val="clear" w:color="auto" w:fill="EDEDED" w:themeFill="accent3" w:themeFillTint="33"/>
            <w:vAlign w:val="center"/>
          </w:tcPr>
          <w:p w14:paraId="0BFA580A" w14:textId="77777777" w:rsidR="00085D6F" w:rsidRPr="003058F5" w:rsidRDefault="00085D6F" w:rsidP="00845FCD">
            <w:pPr>
              <w:pStyle w:val="Paragraphedeliste"/>
              <w:numPr>
                <w:ilvl w:val="0"/>
                <w:numId w:val="29"/>
              </w:numPr>
              <w:spacing w:line="276" w:lineRule="auto"/>
              <w:jc w:val="center"/>
              <w:textAlignment w:val="baseline"/>
              <w:rPr>
                <w:rFonts w:eastAsia="Times New Roman" w:cs="Arial"/>
                <w:szCs w:val="16"/>
                <w:lang w:eastAsia="en-GB"/>
              </w:rPr>
            </w:pPr>
          </w:p>
        </w:tc>
        <w:tc>
          <w:tcPr>
            <w:tcW w:w="1273" w:type="dxa"/>
            <w:shd w:val="clear" w:color="auto" w:fill="FFFFFF" w:themeFill="background1"/>
            <w:vAlign w:val="center"/>
          </w:tcPr>
          <w:p w14:paraId="5371ABF3" w14:textId="5C3F85BC" w:rsidR="00BF028F" w:rsidRPr="003058F5" w:rsidRDefault="00BF028F" w:rsidP="00845FCD">
            <w:pPr>
              <w:pStyle w:val="Paragraphedeliste"/>
              <w:numPr>
                <w:ilvl w:val="0"/>
                <w:numId w:val="29"/>
              </w:numPr>
              <w:spacing w:line="276" w:lineRule="auto"/>
              <w:jc w:val="center"/>
              <w:textAlignment w:val="baseline"/>
              <w:rPr>
                <w:rFonts w:eastAsia="Times New Roman" w:cs="Arial"/>
                <w:szCs w:val="16"/>
                <w:lang w:eastAsia="en-GB"/>
              </w:rPr>
            </w:pPr>
          </w:p>
        </w:tc>
        <w:tc>
          <w:tcPr>
            <w:tcW w:w="1273" w:type="dxa"/>
            <w:gridSpan w:val="2"/>
            <w:tcBorders>
              <w:bottom w:val="single" w:sz="6" w:space="0" w:color="A6A6A6" w:themeColor="background1" w:themeShade="A6"/>
            </w:tcBorders>
            <w:shd w:val="clear" w:color="auto" w:fill="FFFFFF" w:themeFill="background1"/>
            <w:vAlign w:val="center"/>
          </w:tcPr>
          <w:p w14:paraId="4ADE6AE9" w14:textId="77777777" w:rsidR="00BF028F" w:rsidRPr="003058F5" w:rsidRDefault="00BF028F" w:rsidP="00845FCD">
            <w:pPr>
              <w:pStyle w:val="Paragraphedeliste"/>
              <w:numPr>
                <w:ilvl w:val="0"/>
                <w:numId w:val="29"/>
              </w:numPr>
              <w:spacing w:line="276" w:lineRule="auto"/>
              <w:jc w:val="center"/>
              <w:textAlignment w:val="baseline"/>
              <w:rPr>
                <w:rFonts w:eastAsia="Times New Roman" w:cs="Arial"/>
                <w:szCs w:val="16"/>
                <w:lang w:eastAsia="en-GB"/>
              </w:rPr>
            </w:pPr>
          </w:p>
        </w:tc>
        <w:tc>
          <w:tcPr>
            <w:tcW w:w="1273" w:type="dxa"/>
            <w:tcBorders>
              <w:bottom w:val="single" w:sz="6" w:space="0" w:color="A6A6A6" w:themeColor="background1" w:themeShade="A6"/>
            </w:tcBorders>
            <w:shd w:val="clear" w:color="auto" w:fill="FFFFFF" w:themeFill="background1"/>
            <w:vAlign w:val="center"/>
          </w:tcPr>
          <w:p w14:paraId="51B8511F" w14:textId="77777777" w:rsidR="00BF028F" w:rsidRPr="003058F5" w:rsidRDefault="00BF028F" w:rsidP="00845FCD">
            <w:pPr>
              <w:pStyle w:val="Paragraphedeliste"/>
              <w:numPr>
                <w:ilvl w:val="0"/>
                <w:numId w:val="29"/>
              </w:numPr>
              <w:spacing w:line="276" w:lineRule="auto"/>
              <w:jc w:val="center"/>
              <w:textAlignment w:val="baseline"/>
              <w:rPr>
                <w:rFonts w:eastAsia="Times New Roman" w:cs="Arial"/>
                <w:szCs w:val="16"/>
                <w:lang w:eastAsia="en-GB"/>
              </w:rPr>
            </w:pPr>
          </w:p>
        </w:tc>
        <w:tc>
          <w:tcPr>
            <w:tcW w:w="1275" w:type="dxa"/>
            <w:gridSpan w:val="2"/>
            <w:tcBorders>
              <w:bottom w:val="single" w:sz="6" w:space="0" w:color="A6A6A6" w:themeColor="background1" w:themeShade="A6"/>
            </w:tcBorders>
            <w:shd w:val="clear" w:color="auto" w:fill="FFFFFF" w:themeFill="background1"/>
            <w:vAlign w:val="center"/>
          </w:tcPr>
          <w:p w14:paraId="270D025B" w14:textId="77777777" w:rsidR="00BF028F" w:rsidRPr="003058F5" w:rsidRDefault="00BF028F" w:rsidP="00845FCD">
            <w:pPr>
              <w:pStyle w:val="Paragraphedeliste"/>
              <w:numPr>
                <w:ilvl w:val="0"/>
                <w:numId w:val="29"/>
              </w:numPr>
              <w:spacing w:line="276" w:lineRule="auto"/>
              <w:jc w:val="center"/>
              <w:textAlignment w:val="baseline"/>
              <w:rPr>
                <w:rFonts w:eastAsia="Times New Roman" w:cs="Arial"/>
                <w:szCs w:val="16"/>
                <w:lang w:eastAsia="en-GB"/>
              </w:rPr>
            </w:pPr>
          </w:p>
        </w:tc>
        <w:tc>
          <w:tcPr>
            <w:tcW w:w="1273" w:type="dxa"/>
            <w:gridSpan w:val="2"/>
            <w:tcBorders>
              <w:bottom w:val="single" w:sz="6" w:space="0" w:color="A6A6A6" w:themeColor="background1" w:themeShade="A6"/>
            </w:tcBorders>
            <w:shd w:val="clear" w:color="auto" w:fill="FFFFFF" w:themeFill="background1"/>
            <w:vAlign w:val="center"/>
          </w:tcPr>
          <w:p w14:paraId="39202CB5" w14:textId="77777777" w:rsidR="00BF028F" w:rsidRPr="003058F5" w:rsidRDefault="00BF028F" w:rsidP="00845FCD">
            <w:pPr>
              <w:pStyle w:val="Paragraphedeliste"/>
              <w:numPr>
                <w:ilvl w:val="0"/>
                <w:numId w:val="29"/>
              </w:numPr>
              <w:spacing w:line="276" w:lineRule="auto"/>
              <w:jc w:val="center"/>
              <w:textAlignment w:val="baseline"/>
              <w:rPr>
                <w:rFonts w:eastAsia="Times New Roman" w:cs="Arial"/>
                <w:szCs w:val="16"/>
                <w:lang w:eastAsia="en-GB"/>
              </w:rPr>
            </w:pPr>
          </w:p>
        </w:tc>
        <w:tc>
          <w:tcPr>
            <w:tcW w:w="1273" w:type="dxa"/>
            <w:tcBorders>
              <w:bottom w:val="single" w:sz="6" w:space="0" w:color="A6A6A6" w:themeColor="background1" w:themeShade="A6"/>
            </w:tcBorders>
            <w:shd w:val="clear" w:color="auto" w:fill="FFFFFF" w:themeFill="background1"/>
            <w:vAlign w:val="center"/>
          </w:tcPr>
          <w:p w14:paraId="225FF8D1" w14:textId="77777777" w:rsidR="00BF028F" w:rsidRPr="003058F5" w:rsidRDefault="00BF028F" w:rsidP="00845FCD">
            <w:pPr>
              <w:pStyle w:val="Paragraphedeliste"/>
              <w:numPr>
                <w:ilvl w:val="0"/>
                <w:numId w:val="29"/>
              </w:numPr>
              <w:spacing w:line="276" w:lineRule="auto"/>
              <w:jc w:val="center"/>
              <w:textAlignment w:val="baseline"/>
              <w:rPr>
                <w:rFonts w:eastAsia="Times New Roman" w:cs="Arial"/>
                <w:szCs w:val="16"/>
                <w:lang w:eastAsia="en-GB"/>
              </w:rPr>
            </w:pPr>
          </w:p>
        </w:tc>
        <w:tc>
          <w:tcPr>
            <w:tcW w:w="1275" w:type="dxa"/>
            <w:gridSpan w:val="2"/>
            <w:tcBorders>
              <w:bottom w:val="single" w:sz="6" w:space="0" w:color="A6A6A6" w:themeColor="background1" w:themeShade="A6"/>
            </w:tcBorders>
            <w:shd w:val="clear" w:color="auto" w:fill="FFFFFF" w:themeFill="background1"/>
            <w:vAlign w:val="center"/>
          </w:tcPr>
          <w:p w14:paraId="56D93454" w14:textId="77777777" w:rsidR="00BF028F" w:rsidRPr="003058F5" w:rsidRDefault="00BF028F" w:rsidP="00845FCD">
            <w:pPr>
              <w:pStyle w:val="Paragraphedeliste"/>
              <w:numPr>
                <w:ilvl w:val="0"/>
                <w:numId w:val="29"/>
              </w:numPr>
              <w:spacing w:line="276" w:lineRule="auto"/>
              <w:jc w:val="center"/>
              <w:textAlignment w:val="baseline"/>
              <w:rPr>
                <w:rFonts w:eastAsia="Times New Roman" w:cs="Arial"/>
                <w:szCs w:val="16"/>
                <w:lang w:eastAsia="en-GB"/>
              </w:rPr>
            </w:pPr>
          </w:p>
        </w:tc>
        <w:tc>
          <w:tcPr>
            <w:tcW w:w="1273" w:type="dxa"/>
            <w:gridSpan w:val="2"/>
            <w:tcBorders>
              <w:bottom w:val="single" w:sz="6" w:space="0" w:color="A6A6A6" w:themeColor="background1" w:themeShade="A6"/>
            </w:tcBorders>
            <w:shd w:val="clear" w:color="auto" w:fill="FFFFFF" w:themeFill="background1"/>
            <w:vAlign w:val="center"/>
          </w:tcPr>
          <w:p w14:paraId="65B96284" w14:textId="77777777" w:rsidR="00BF028F" w:rsidRPr="003058F5" w:rsidRDefault="00BF028F" w:rsidP="00845FCD">
            <w:pPr>
              <w:pStyle w:val="Paragraphedeliste"/>
              <w:numPr>
                <w:ilvl w:val="0"/>
                <w:numId w:val="29"/>
              </w:numPr>
              <w:spacing w:line="276" w:lineRule="auto"/>
              <w:jc w:val="center"/>
              <w:textAlignment w:val="baseline"/>
              <w:rPr>
                <w:rFonts w:eastAsia="Times New Roman" w:cs="Arial"/>
                <w:szCs w:val="16"/>
                <w:lang w:eastAsia="en-GB"/>
              </w:rPr>
            </w:pPr>
          </w:p>
        </w:tc>
      </w:tr>
      <w:tr w:rsidR="00F94764" w:rsidRPr="003058F5" w14:paraId="6CD8787A" w14:textId="77777777" w:rsidTr="00936155">
        <w:trPr>
          <w:gridAfter w:val="1"/>
          <w:wAfter w:w="24" w:type="dxa"/>
          <w:trHeight w:val="465"/>
        </w:trPr>
        <w:tc>
          <w:tcPr>
            <w:tcW w:w="3400"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581B5E77" w14:textId="4A1A9202" w:rsidR="00FB0BEA" w:rsidRPr="003058F5" w:rsidRDefault="00FB0BEA" w:rsidP="000353E8">
            <w:pPr>
              <w:spacing w:line="276" w:lineRule="auto"/>
              <w:textAlignment w:val="baseline"/>
              <w:rPr>
                <w:rFonts w:eastAsia="Times New Roman" w:cs="Arial"/>
                <w:szCs w:val="16"/>
              </w:rPr>
            </w:pPr>
            <w:r>
              <w:t xml:space="preserve">(B) Oui, notre processus formel comprend l’examen d'informations quantitatives et/ou qualitatives sur les </w:t>
            </w:r>
            <w:r w:rsidR="00376A0C">
              <w:t>risques et incidents ESG</w:t>
            </w:r>
            <w:r>
              <w:t xml:space="preserve"> majeurs, et leurs conséquences sur </w:t>
            </w:r>
            <w:r>
              <w:lastRenderedPageBreak/>
              <w:t>d'autres titres, émetteurs et instruments financiers exposés à des risques et/ou incidents similaires</w:t>
            </w:r>
          </w:p>
        </w:tc>
        <w:tc>
          <w:tcPr>
            <w:tcW w:w="1272" w:type="dxa"/>
            <w:shd w:val="clear" w:color="auto" w:fill="EDEDED" w:themeFill="accent3" w:themeFillTint="33"/>
            <w:vAlign w:val="center"/>
          </w:tcPr>
          <w:p w14:paraId="4A13161A" w14:textId="77777777" w:rsidR="00085D6F" w:rsidRPr="003058F5" w:rsidRDefault="00085D6F" w:rsidP="00845FCD">
            <w:pPr>
              <w:pStyle w:val="Paragraphedeliste"/>
              <w:numPr>
                <w:ilvl w:val="0"/>
                <w:numId w:val="29"/>
              </w:numPr>
              <w:spacing w:line="276" w:lineRule="auto"/>
              <w:jc w:val="center"/>
              <w:textAlignment w:val="baseline"/>
              <w:rPr>
                <w:rFonts w:eastAsia="Times New Roman" w:cs="Arial"/>
                <w:szCs w:val="16"/>
                <w:lang w:eastAsia="en-GB"/>
              </w:rPr>
            </w:pPr>
          </w:p>
        </w:tc>
        <w:tc>
          <w:tcPr>
            <w:tcW w:w="1273" w:type="dxa"/>
            <w:shd w:val="clear" w:color="auto" w:fill="FFFFFF" w:themeFill="background1"/>
            <w:vAlign w:val="center"/>
          </w:tcPr>
          <w:p w14:paraId="2D03E7BA" w14:textId="116E2877" w:rsidR="00BF028F" w:rsidRPr="003058F5" w:rsidRDefault="00BF028F" w:rsidP="00845FCD">
            <w:pPr>
              <w:pStyle w:val="Paragraphedeliste"/>
              <w:numPr>
                <w:ilvl w:val="0"/>
                <w:numId w:val="29"/>
              </w:numPr>
              <w:spacing w:line="276" w:lineRule="auto"/>
              <w:jc w:val="center"/>
              <w:textAlignment w:val="baseline"/>
              <w:rPr>
                <w:rFonts w:eastAsia="Times New Roman" w:cs="Arial"/>
                <w:szCs w:val="16"/>
                <w:lang w:eastAsia="en-GB"/>
              </w:rPr>
            </w:pPr>
          </w:p>
        </w:tc>
        <w:tc>
          <w:tcPr>
            <w:tcW w:w="1273" w:type="dxa"/>
            <w:gridSpan w:val="2"/>
            <w:tcBorders>
              <w:bottom w:val="single" w:sz="6" w:space="0" w:color="A6A6A6" w:themeColor="background1" w:themeShade="A6"/>
            </w:tcBorders>
            <w:shd w:val="clear" w:color="auto" w:fill="FFFFFF" w:themeFill="background1"/>
            <w:vAlign w:val="center"/>
          </w:tcPr>
          <w:p w14:paraId="09DDA503" w14:textId="77777777" w:rsidR="00BF028F" w:rsidRPr="003058F5" w:rsidRDefault="00BF028F" w:rsidP="00845FCD">
            <w:pPr>
              <w:pStyle w:val="Paragraphedeliste"/>
              <w:numPr>
                <w:ilvl w:val="0"/>
                <w:numId w:val="29"/>
              </w:numPr>
              <w:spacing w:line="276" w:lineRule="auto"/>
              <w:jc w:val="center"/>
              <w:textAlignment w:val="baseline"/>
              <w:rPr>
                <w:rFonts w:eastAsia="Times New Roman" w:cs="Arial"/>
                <w:szCs w:val="16"/>
                <w:lang w:eastAsia="en-GB"/>
              </w:rPr>
            </w:pPr>
          </w:p>
        </w:tc>
        <w:tc>
          <w:tcPr>
            <w:tcW w:w="1273" w:type="dxa"/>
            <w:tcBorders>
              <w:bottom w:val="single" w:sz="6" w:space="0" w:color="A6A6A6" w:themeColor="background1" w:themeShade="A6"/>
            </w:tcBorders>
            <w:shd w:val="clear" w:color="auto" w:fill="FFFFFF" w:themeFill="background1"/>
            <w:vAlign w:val="center"/>
          </w:tcPr>
          <w:p w14:paraId="171020C9" w14:textId="77777777" w:rsidR="00BF028F" w:rsidRPr="003058F5" w:rsidRDefault="00BF028F" w:rsidP="00845FCD">
            <w:pPr>
              <w:pStyle w:val="Paragraphedeliste"/>
              <w:numPr>
                <w:ilvl w:val="0"/>
                <w:numId w:val="29"/>
              </w:numPr>
              <w:spacing w:line="276" w:lineRule="auto"/>
              <w:jc w:val="center"/>
              <w:textAlignment w:val="baseline"/>
              <w:rPr>
                <w:rFonts w:eastAsia="Times New Roman" w:cs="Arial"/>
                <w:szCs w:val="16"/>
                <w:lang w:eastAsia="en-GB"/>
              </w:rPr>
            </w:pPr>
          </w:p>
        </w:tc>
        <w:tc>
          <w:tcPr>
            <w:tcW w:w="1275" w:type="dxa"/>
            <w:gridSpan w:val="2"/>
            <w:tcBorders>
              <w:bottom w:val="single" w:sz="6" w:space="0" w:color="A6A6A6" w:themeColor="background1" w:themeShade="A6"/>
            </w:tcBorders>
            <w:shd w:val="clear" w:color="auto" w:fill="FFFFFF" w:themeFill="background1"/>
            <w:vAlign w:val="center"/>
          </w:tcPr>
          <w:p w14:paraId="60C67770" w14:textId="77777777" w:rsidR="00BF028F" w:rsidRPr="003058F5" w:rsidRDefault="00BF028F" w:rsidP="00845FCD">
            <w:pPr>
              <w:pStyle w:val="Paragraphedeliste"/>
              <w:numPr>
                <w:ilvl w:val="0"/>
                <w:numId w:val="29"/>
              </w:numPr>
              <w:spacing w:line="276" w:lineRule="auto"/>
              <w:jc w:val="center"/>
              <w:textAlignment w:val="baseline"/>
              <w:rPr>
                <w:rFonts w:eastAsia="Times New Roman" w:cs="Arial"/>
                <w:szCs w:val="16"/>
                <w:lang w:eastAsia="en-GB"/>
              </w:rPr>
            </w:pPr>
          </w:p>
        </w:tc>
        <w:tc>
          <w:tcPr>
            <w:tcW w:w="1273" w:type="dxa"/>
            <w:gridSpan w:val="2"/>
            <w:tcBorders>
              <w:bottom w:val="single" w:sz="6" w:space="0" w:color="A6A6A6" w:themeColor="background1" w:themeShade="A6"/>
            </w:tcBorders>
            <w:shd w:val="clear" w:color="auto" w:fill="FFFFFF" w:themeFill="background1"/>
            <w:vAlign w:val="center"/>
          </w:tcPr>
          <w:p w14:paraId="38E0FB46" w14:textId="77777777" w:rsidR="00BF028F" w:rsidRPr="003058F5" w:rsidRDefault="00BF028F" w:rsidP="00845FCD">
            <w:pPr>
              <w:pStyle w:val="Paragraphedeliste"/>
              <w:numPr>
                <w:ilvl w:val="0"/>
                <w:numId w:val="29"/>
              </w:numPr>
              <w:spacing w:line="276" w:lineRule="auto"/>
              <w:jc w:val="center"/>
              <w:textAlignment w:val="baseline"/>
              <w:rPr>
                <w:rFonts w:eastAsia="Times New Roman" w:cs="Arial"/>
                <w:szCs w:val="16"/>
                <w:lang w:eastAsia="en-GB"/>
              </w:rPr>
            </w:pPr>
          </w:p>
        </w:tc>
        <w:tc>
          <w:tcPr>
            <w:tcW w:w="1273" w:type="dxa"/>
            <w:tcBorders>
              <w:bottom w:val="single" w:sz="6" w:space="0" w:color="A6A6A6" w:themeColor="background1" w:themeShade="A6"/>
            </w:tcBorders>
            <w:shd w:val="clear" w:color="auto" w:fill="FFFFFF" w:themeFill="background1"/>
            <w:vAlign w:val="center"/>
          </w:tcPr>
          <w:p w14:paraId="2A148260" w14:textId="77777777" w:rsidR="00BF028F" w:rsidRPr="003058F5" w:rsidRDefault="00BF028F" w:rsidP="00845FCD">
            <w:pPr>
              <w:pStyle w:val="Paragraphedeliste"/>
              <w:numPr>
                <w:ilvl w:val="0"/>
                <w:numId w:val="29"/>
              </w:numPr>
              <w:spacing w:line="276" w:lineRule="auto"/>
              <w:jc w:val="center"/>
              <w:textAlignment w:val="baseline"/>
              <w:rPr>
                <w:rFonts w:eastAsia="Times New Roman" w:cs="Arial"/>
                <w:szCs w:val="16"/>
                <w:lang w:eastAsia="en-GB"/>
              </w:rPr>
            </w:pPr>
          </w:p>
        </w:tc>
        <w:tc>
          <w:tcPr>
            <w:tcW w:w="1275" w:type="dxa"/>
            <w:gridSpan w:val="2"/>
            <w:tcBorders>
              <w:bottom w:val="single" w:sz="6" w:space="0" w:color="A6A6A6" w:themeColor="background1" w:themeShade="A6"/>
            </w:tcBorders>
            <w:shd w:val="clear" w:color="auto" w:fill="FFFFFF" w:themeFill="background1"/>
            <w:vAlign w:val="center"/>
          </w:tcPr>
          <w:p w14:paraId="6FDA5D76" w14:textId="77777777" w:rsidR="00BF028F" w:rsidRPr="003058F5" w:rsidRDefault="00BF028F" w:rsidP="00845FCD">
            <w:pPr>
              <w:pStyle w:val="Paragraphedeliste"/>
              <w:numPr>
                <w:ilvl w:val="0"/>
                <w:numId w:val="29"/>
              </w:numPr>
              <w:spacing w:line="276" w:lineRule="auto"/>
              <w:jc w:val="center"/>
              <w:textAlignment w:val="baseline"/>
              <w:rPr>
                <w:rFonts w:eastAsia="Times New Roman" w:cs="Arial"/>
                <w:szCs w:val="16"/>
                <w:lang w:eastAsia="en-GB"/>
              </w:rPr>
            </w:pPr>
          </w:p>
        </w:tc>
        <w:tc>
          <w:tcPr>
            <w:tcW w:w="1273" w:type="dxa"/>
            <w:gridSpan w:val="2"/>
            <w:tcBorders>
              <w:bottom w:val="single" w:sz="6" w:space="0" w:color="A6A6A6" w:themeColor="background1" w:themeShade="A6"/>
            </w:tcBorders>
            <w:shd w:val="clear" w:color="auto" w:fill="FFFFFF" w:themeFill="background1"/>
            <w:vAlign w:val="center"/>
          </w:tcPr>
          <w:p w14:paraId="274067BD" w14:textId="77777777" w:rsidR="00BF028F" w:rsidRPr="003058F5" w:rsidRDefault="00BF028F" w:rsidP="00845FCD">
            <w:pPr>
              <w:pStyle w:val="Paragraphedeliste"/>
              <w:numPr>
                <w:ilvl w:val="0"/>
                <w:numId w:val="29"/>
              </w:numPr>
              <w:spacing w:line="276" w:lineRule="auto"/>
              <w:jc w:val="center"/>
              <w:textAlignment w:val="baseline"/>
              <w:rPr>
                <w:rFonts w:eastAsia="Times New Roman" w:cs="Arial"/>
                <w:szCs w:val="16"/>
                <w:lang w:eastAsia="en-GB"/>
              </w:rPr>
            </w:pPr>
          </w:p>
        </w:tc>
      </w:tr>
      <w:tr w:rsidR="00F94764" w:rsidRPr="003058F5" w14:paraId="29B7EE58" w14:textId="77777777" w:rsidTr="00936155">
        <w:trPr>
          <w:gridAfter w:val="1"/>
          <w:wAfter w:w="24" w:type="dxa"/>
          <w:trHeight w:val="465"/>
        </w:trPr>
        <w:tc>
          <w:tcPr>
            <w:tcW w:w="3400"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04CDB173" w14:textId="78602F83" w:rsidR="00B00CEC" w:rsidRPr="003058F5" w:rsidRDefault="00B00CEC" w:rsidP="00CB6A40">
            <w:pPr>
              <w:spacing w:line="276" w:lineRule="auto"/>
              <w:textAlignment w:val="baseline"/>
              <w:rPr>
                <w:rFonts w:eastAsia="Times New Roman" w:cs="Arial"/>
                <w:szCs w:val="16"/>
              </w:rPr>
            </w:pPr>
            <w:r>
              <w:t xml:space="preserve">(C) Oui, notre processus formel comprend l'examen d'informations quantitatives et/ou qualitatives sur les </w:t>
            </w:r>
            <w:r w:rsidR="00376A0C">
              <w:t>risques et incidents ESG</w:t>
            </w:r>
            <w:r>
              <w:t xml:space="preserve"> majeurs et leurs conséquences sur nos activités d’engagement</w:t>
            </w:r>
          </w:p>
        </w:tc>
        <w:tc>
          <w:tcPr>
            <w:tcW w:w="1272" w:type="dxa"/>
            <w:shd w:val="clear" w:color="auto" w:fill="EDEDED" w:themeFill="accent3" w:themeFillTint="33"/>
            <w:vAlign w:val="center"/>
          </w:tcPr>
          <w:p w14:paraId="02A8DD52" w14:textId="77777777" w:rsidR="00085D6F" w:rsidRPr="003058F5" w:rsidRDefault="00085D6F">
            <w:pPr>
              <w:pStyle w:val="Paragraphedeliste"/>
              <w:numPr>
                <w:ilvl w:val="0"/>
                <w:numId w:val="66"/>
              </w:numPr>
              <w:spacing w:line="276" w:lineRule="auto"/>
              <w:jc w:val="center"/>
              <w:textAlignment w:val="baseline"/>
              <w:rPr>
                <w:rFonts w:eastAsia="Times New Roman" w:cs="Arial"/>
                <w:szCs w:val="14"/>
                <w:lang w:eastAsia="en-GB"/>
              </w:rPr>
            </w:pPr>
          </w:p>
        </w:tc>
        <w:tc>
          <w:tcPr>
            <w:tcW w:w="1273" w:type="dxa"/>
            <w:shd w:val="clear" w:color="auto" w:fill="FFFFFF" w:themeFill="background1"/>
            <w:vAlign w:val="center"/>
          </w:tcPr>
          <w:p w14:paraId="621D41CC" w14:textId="0C931C14" w:rsidR="00BF028F" w:rsidRPr="003058F5" w:rsidRDefault="00BF028F" w:rsidP="00F15919">
            <w:pPr>
              <w:pStyle w:val="Paragraphedeliste"/>
              <w:numPr>
                <w:ilvl w:val="0"/>
                <w:numId w:val="66"/>
              </w:numPr>
              <w:spacing w:line="276" w:lineRule="auto"/>
              <w:jc w:val="center"/>
              <w:textAlignment w:val="baseline"/>
              <w:rPr>
                <w:rFonts w:eastAsia="Times New Roman" w:cs="Arial"/>
                <w:szCs w:val="14"/>
                <w:lang w:eastAsia="en-GB"/>
              </w:rPr>
            </w:pPr>
          </w:p>
        </w:tc>
        <w:tc>
          <w:tcPr>
            <w:tcW w:w="1273" w:type="dxa"/>
            <w:gridSpan w:val="2"/>
            <w:tcBorders>
              <w:bottom w:val="single" w:sz="6" w:space="0" w:color="A6A6A6" w:themeColor="background1" w:themeShade="A6"/>
            </w:tcBorders>
            <w:shd w:val="clear" w:color="auto" w:fill="FFFFFF" w:themeFill="background1"/>
            <w:vAlign w:val="center"/>
          </w:tcPr>
          <w:p w14:paraId="177211B8" w14:textId="77777777" w:rsidR="00BF028F" w:rsidRPr="003058F5" w:rsidRDefault="00BF028F" w:rsidP="00F15919">
            <w:pPr>
              <w:pStyle w:val="Paragraphedeliste"/>
              <w:numPr>
                <w:ilvl w:val="0"/>
                <w:numId w:val="66"/>
              </w:numPr>
              <w:spacing w:line="276" w:lineRule="auto"/>
              <w:jc w:val="center"/>
              <w:textAlignment w:val="baseline"/>
              <w:rPr>
                <w:rFonts w:eastAsia="Times New Roman" w:cs="Arial"/>
                <w:szCs w:val="14"/>
                <w:lang w:eastAsia="en-GB"/>
              </w:rPr>
            </w:pPr>
          </w:p>
        </w:tc>
        <w:tc>
          <w:tcPr>
            <w:tcW w:w="1273" w:type="dxa"/>
            <w:tcBorders>
              <w:bottom w:val="single" w:sz="6" w:space="0" w:color="A6A6A6" w:themeColor="background1" w:themeShade="A6"/>
            </w:tcBorders>
            <w:shd w:val="clear" w:color="auto" w:fill="FFFFFF" w:themeFill="background1"/>
            <w:vAlign w:val="center"/>
          </w:tcPr>
          <w:p w14:paraId="0E1E74D2" w14:textId="77777777" w:rsidR="00BF028F" w:rsidRPr="003058F5" w:rsidRDefault="00BF028F" w:rsidP="00F15919">
            <w:pPr>
              <w:pStyle w:val="Paragraphedeliste"/>
              <w:numPr>
                <w:ilvl w:val="0"/>
                <w:numId w:val="66"/>
              </w:numPr>
              <w:spacing w:line="276" w:lineRule="auto"/>
              <w:jc w:val="center"/>
              <w:textAlignment w:val="baseline"/>
              <w:rPr>
                <w:rFonts w:eastAsia="Times New Roman" w:cs="Arial"/>
                <w:szCs w:val="14"/>
                <w:lang w:eastAsia="en-GB"/>
              </w:rPr>
            </w:pPr>
          </w:p>
        </w:tc>
        <w:tc>
          <w:tcPr>
            <w:tcW w:w="1275" w:type="dxa"/>
            <w:gridSpan w:val="2"/>
            <w:tcBorders>
              <w:bottom w:val="single" w:sz="6" w:space="0" w:color="A6A6A6" w:themeColor="background1" w:themeShade="A6"/>
            </w:tcBorders>
            <w:shd w:val="clear" w:color="auto" w:fill="FFFFFF" w:themeFill="background1"/>
            <w:vAlign w:val="center"/>
          </w:tcPr>
          <w:p w14:paraId="41745FE0" w14:textId="77777777" w:rsidR="00BF028F" w:rsidRPr="003058F5" w:rsidRDefault="00BF028F" w:rsidP="00F15919">
            <w:pPr>
              <w:pStyle w:val="Paragraphedeliste"/>
              <w:numPr>
                <w:ilvl w:val="0"/>
                <w:numId w:val="66"/>
              </w:numPr>
              <w:spacing w:line="276" w:lineRule="auto"/>
              <w:jc w:val="center"/>
              <w:textAlignment w:val="baseline"/>
              <w:rPr>
                <w:rFonts w:eastAsia="Times New Roman" w:cs="Arial"/>
                <w:szCs w:val="14"/>
                <w:lang w:eastAsia="en-GB"/>
              </w:rPr>
            </w:pPr>
          </w:p>
        </w:tc>
        <w:tc>
          <w:tcPr>
            <w:tcW w:w="1273" w:type="dxa"/>
            <w:gridSpan w:val="2"/>
            <w:tcBorders>
              <w:bottom w:val="single" w:sz="6" w:space="0" w:color="A6A6A6" w:themeColor="background1" w:themeShade="A6"/>
            </w:tcBorders>
            <w:shd w:val="clear" w:color="auto" w:fill="FFFFFF" w:themeFill="background1"/>
            <w:vAlign w:val="center"/>
          </w:tcPr>
          <w:p w14:paraId="288EE812" w14:textId="77777777" w:rsidR="00BF028F" w:rsidRPr="003058F5" w:rsidRDefault="00BF028F" w:rsidP="00F15919">
            <w:pPr>
              <w:pStyle w:val="Paragraphedeliste"/>
              <w:numPr>
                <w:ilvl w:val="0"/>
                <w:numId w:val="66"/>
              </w:numPr>
              <w:spacing w:line="276" w:lineRule="auto"/>
              <w:jc w:val="center"/>
              <w:textAlignment w:val="baseline"/>
              <w:rPr>
                <w:rFonts w:eastAsia="Times New Roman" w:cs="Arial"/>
                <w:szCs w:val="14"/>
                <w:lang w:eastAsia="en-GB"/>
              </w:rPr>
            </w:pPr>
          </w:p>
        </w:tc>
        <w:tc>
          <w:tcPr>
            <w:tcW w:w="1273" w:type="dxa"/>
            <w:tcBorders>
              <w:bottom w:val="single" w:sz="6" w:space="0" w:color="A6A6A6" w:themeColor="background1" w:themeShade="A6"/>
            </w:tcBorders>
            <w:shd w:val="clear" w:color="auto" w:fill="FFFFFF" w:themeFill="background1"/>
            <w:vAlign w:val="center"/>
          </w:tcPr>
          <w:p w14:paraId="0D69D043" w14:textId="77777777" w:rsidR="00BF028F" w:rsidRPr="003058F5" w:rsidRDefault="00BF028F" w:rsidP="00F15919">
            <w:pPr>
              <w:pStyle w:val="Paragraphedeliste"/>
              <w:numPr>
                <w:ilvl w:val="0"/>
                <w:numId w:val="66"/>
              </w:numPr>
              <w:spacing w:line="276" w:lineRule="auto"/>
              <w:jc w:val="center"/>
              <w:textAlignment w:val="baseline"/>
              <w:rPr>
                <w:rFonts w:eastAsia="Times New Roman" w:cs="Arial"/>
                <w:szCs w:val="14"/>
                <w:lang w:eastAsia="en-GB"/>
              </w:rPr>
            </w:pPr>
          </w:p>
        </w:tc>
        <w:tc>
          <w:tcPr>
            <w:tcW w:w="1275" w:type="dxa"/>
            <w:gridSpan w:val="2"/>
            <w:tcBorders>
              <w:bottom w:val="single" w:sz="6" w:space="0" w:color="A6A6A6" w:themeColor="background1" w:themeShade="A6"/>
            </w:tcBorders>
            <w:shd w:val="clear" w:color="auto" w:fill="FFFFFF" w:themeFill="background1"/>
            <w:vAlign w:val="center"/>
          </w:tcPr>
          <w:p w14:paraId="2F674606" w14:textId="77777777" w:rsidR="00BF028F" w:rsidRPr="003058F5" w:rsidRDefault="00BF028F" w:rsidP="00F15919">
            <w:pPr>
              <w:pStyle w:val="Paragraphedeliste"/>
              <w:numPr>
                <w:ilvl w:val="0"/>
                <w:numId w:val="66"/>
              </w:numPr>
              <w:spacing w:line="276" w:lineRule="auto"/>
              <w:jc w:val="center"/>
              <w:textAlignment w:val="baseline"/>
              <w:rPr>
                <w:rFonts w:eastAsia="Times New Roman" w:cs="Arial"/>
                <w:szCs w:val="14"/>
                <w:lang w:eastAsia="en-GB"/>
              </w:rPr>
            </w:pPr>
          </w:p>
        </w:tc>
        <w:tc>
          <w:tcPr>
            <w:tcW w:w="1273" w:type="dxa"/>
            <w:gridSpan w:val="2"/>
            <w:tcBorders>
              <w:bottom w:val="single" w:sz="6" w:space="0" w:color="A6A6A6" w:themeColor="background1" w:themeShade="A6"/>
            </w:tcBorders>
            <w:shd w:val="clear" w:color="auto" w:fill="FFFFFF" w:themeFill="background1"/>
            <w:vAlign w:val="center"/>
          </w:tcPr>
          <w:p w14:paraId="27F62A0D" w14:textId="77777777" w:rsidR="00BF028F" w:rsidRPr="003058F5" w:rsidRDefault="00BF028F" w:rsidP="00F15919">
            <w:pPr>
              <w:pStyle w:val="Paragraphedeliste"/>
              <w:numPr>
                <w:ilvl w:val="0"/>
                <w:numId w:val="66"/>
              </w:numPr>
              <w:spacing w:line="276" w:lineRule="auto"/>
              <w:jc w:val="center"/>
              <w:textAlignment w:val="baseline"/>
              <w:rPr>
                <w:rFonts w:eastAsia="Times New Roman" w:cs="Arial"/>
                <w:szCs w:val="14"/>
                <w:lang w:eastAsia="en-GB"/>
              </w:rPr>
            </w:pPr>
          </w:p>
        </w:tc>
      </w:tr>
      <w:tr w:rsidR="00F94764" w:rsidRPr="003058F5" w14:paraId="495C0483" w14:textId="77777777" w:rsidTr="00936155">
        <w:trPr>
          <w:gridAfter w:val="1"/>
          <w:wAfter w:w="24" w:type="dxa"/>
          <w:trHeight w:val="465"/>
        </w:trPr>
        <w:tc>
          <w:tcPr>
            <w:tcW w:w="3400"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4A733CD7" w14:textId="5FF19A3D" w:rsidR="00BF028F" w:rsidRPr="003058F5" w:rsidRDefault="00B6715F" w:rsidP="00C638D6">
            <w:pPr>
              <w:spacing w:line="276" w:lineRule="auto"/>
              <w:textAlignment w:val="baseline"/>
              <w:rPr>
                <w:rFonts w:eastAsia="Times New Roman" w:cs="Arial"/>
                <w:szCs w:val="16"/>
              </w:rPr>
            </w:pPr>
            <w:r>
              <w:t xml:space="preserve">(D) Oui, notre processus formel comprend des examens ponctuels d'informations quantitatives et/ou qualitatives sur des incidents ESG graves </w:t>
            </w:r>
          </w:p>
        </w:tc>
        <w:tc>
          <w:tcPr>
            <w:tcW w:w="1272" w:type="dxa"/>
            <w:shd w:val="clear" w:color="auto" w:fill="EDEDED" w:themeFill="accent3" w:themeFillTint="33"/>
            <w:vAlign w:val="center"/>
          </w:tcPr>
          <w:p w14:paraId="2C5E1A5B" w14:textId="77777777" w:rsidR="00085D6F" w:rsidRPr="003058F5" w:rsidRDefault="00085D6F">
            <w:pPr>
              <w:pStyle w:val="Paragraphedeliste"/>
              <w:numPr>
                <w:ilvl w:val="0"/>
                <w:numId w:val="82"/>
              </w:numPr>
              <w:spacing w:line="276" w:lineRule="auto"/>
              <w:jc w:val="center"/>
              <w:textAlignment w:val="baseline"/>
              <w:rPr>
                <w:rFonts w:eastAsia="Times New Roman" w:cs="Arial"/>
                <w:szCs w:val="14"/>
                <w:lang w:eastAsia="en-GB"/>
              </w:rPr>
            </w:pPr>
          </w:p>
        </w:tc>
        <w:tc>
          <w:tcPr>
            <w:tcW w:w="1273" w:type="dxa"/>
            <w:shd w:val="clear" w:color="auto" w:fill="FFFFFF" w:themeFill="background1"/>
            <w:vAlign w:val="center"/>
          </w:tcPr>
          <w:p w14:paraId="41F1D09C" w14:textId="7420E0D4" w:rsidR="00BF028F" w:rsidRPr="003058F5" w:rsidRDefault="00BF028F" w:rsidP="00F15919">
            <w:pPr>
              <w:pStyle w:val="Paragraphedeliste"/>
              <w:numPr>
                <w:ilvl w:val="0"/>
                <w:numId w:val="82"/>
              </w:numPr>
              <w:spacing w:line="276" w:lineRule="auto"/>
              <w:jc w:val="center"/>
              <w:textAlignment w:val="baseline"/>
              <w:rPr>
                <w:rFonts w:eastAsia="Times New Roman" w:cs="Arial"/>
                <w:szCs w:val="14"/>
                <w:lang w:eastAsia="en-GB"/>
              </w:rPr>
            </w:pPr>
          </w:p>
        </w:tc>
        <w:tc>
          <w:tcPr>
            <w:tcW w:w="1273" w:type="dxa"/>
            <w:gridSpan w:val="2"/>
            <w:tcBorders>
              <w:bottom w:val="single" w:sz="6" w:space="0" w:color="A6A6A6" w:themeColor="background1" w:themeShade="A6"/>
            </w:tcBorders>
            <w:shd w:val="clear" w:color="auto" w:fill="FFFFFF" w:themeFill="background1"/>
            <w:vAlign w:val="center"/>
          </w:tcPr>
          <w:p w14:paraId="74DCB59A" w14:textId="77777777" w:rsidR="00BF028F" w:rsidRPr="003058F5" w:rsidRDefault="00BF028F" w:rsidP="00F15919">
            <w:pPr>
              <w:pStyle w:val="Paragraphedeliste"/>
              <w:numPr>
                <w:ilvl w:val="0"/>
                <w:numId w:val="82"/>
              </w:numPr>
              <w:spacing w:line="276" w:lineRule="auto"/>
              <w:jc w:val="center"/>
              <w:textAlignment w:val="baseline"/>
              <w:rPr>
                <w:rFonts w:eastAsia="Times New Roman" w:cs="Arial"/>
                <w:szCs w:val="14"/>
                <w:lang w:eastAsia="en-GB"/>
              </w:rPr>
            </w:pPr>
          </w:p>
        </w:tc>
        <w:tc>
          <w:tcPr>
            <w:tcW w:w="1273" w:type="dxa"/>
            <w:tcBorders>
              <w:bottom w:val="single" w:sz="6" w:space="0" w:color="A6A6A6" w:themeColor="background1" w:themeShade="A6"/>
            </w:tcBorders>
            <w:shd w:val="clear" w:color="auto" w:fill="FFFFFF" w:themeFill="background1"/>
            <w:vAlign w:val="center"/>
          </w:tcPr>
          <w:p w14:paraId="522FD958" w14:textId="77777777" w:rsidR="00BF028F" w:rsidRPr="003058F5" w:rsidRDefault="00BF028F" w:rsidP="00F15919">
            <w:pPr>
              <w:pStyle w:val="Paragraphedeliste"/>
              <w:numPr>
                <w:ilvl w:val="0"/>
                <w:numId w:val="82"/>
              </w:numPr>
              <w:spacing w:line="276" w:lineRule="auto"/>
              <w:jc w:val="center"/>
              <w:textAlignment w:val="baseline"/>
              <w:rPr>
                <w:rFonts w:eastAsia="Times New Roman" w:cs="Arial"/>
                <w:szCs w:val="14"/>
                <w:lang w:eastAsia="en-GB"/>
              </w:rPr>
            </w:pPr>
          </w:p>
        </w:tc>
        <w:tc>
          <w:tcPr>
            <w:tcW w:w="1275" w:type="dxa"/>
            <w:gridSpan w:val="2"/>
            <w:tcBorders>
              <w:bottom w:val="single" w:sz="6" w:space="0" w:color="A6A6A6" w:themeColor="background1" w:themeShade="A6"/>
            </w:tcBorders>
            <w:shd w:val="clear" w:color="auto" w:fill="FFFFFF" w:themeFill="background1"/>
            <w:vAlign w:val="center"/>
          </w:tcPr>
          <w:p w14:paraId="10B1DD50" w14:textId="77777777" w:rsidR="00BF028F" w:rsidRPr="003058F5" w:rsidRDefault="00BF028F" w:rsidP="00F15919">
            <w:pPr>
              <w:pStyle w:val="Paragraphedeliste"/>
              <w:numPr>
                <w:ilvl w:val="0"/>
                <w:numId w:val="82"/>
              </w:numPr>
              <w:spacing w:line="276" w:lineRule="auto"/>
              <w:jc w:val="center"/>
              <w:textAlignment w:val="baseline"/>
              <w:rPr>
                <w:rFonts w:eastAsia="Times New Roman" w:cs="Arial"/>
                <w:szCs w:val="14"/>
                <w:lang w:eastAsia="en-GB"/>
              </w:rPr>
            </w:pPr>
          </w:p>
        </w:tc>
        <w:tc>
          <w:tcPr>
            <w:tcW w:w="1273" w:type="dxa"/>
            <w:gridSpan w:val="2"/>
            <w:tcBorders>
              <w:bottom w:val="single" w:sz="6" w:space="0" w:color="A6A6A6" w:themeColor="background1" w:themeShade="A6"/>
            </w:tcBorders>
            <w:shd w:val="clear" w:color="auto" w:fill="FFFFFF" w:themeFill="background1"/>
            <w:vAlign w:val="center"/>
          </w:tcPr>
          <w:p w14:paraId="1283FF76" w14:textId="77777777" w:rsidR="00BF028F" w:rsidRPr="003058F5" w:rsidRDefault="00BF028F" w:rsidP="00F15919">
            <w:pPr>
              <w:pStyle w:val="Paragraphedeliste"/>
              <w:numPr>
                <w:ilvl w:val="0"/>
                <w:numId w:val="82"/>
              </w:numPr>
              <w:spacing w:line="276" w:lineRule="auto"/>
              <w:jc w:val="center"/>
              <w:textAlignment w:val="baseline"/>
              <w:rPr>
                <w:rFonts w:eastAsia="Times New Roman" w:cs="Arial"/>
                <w:szCs w:val="14"/>
                <w:lang w:eastAsia="en-GB"/>
              </w:rPr>
            </w:pPr>
          </w:p>
        </w:tc>
        <w:tc>
          <w:tcPr>
            <w:tcW w:w="1273" w:type="dxa"/>
            <w:tcBorders>
              <w:bottom w:val="single" w:sz="6" w:space="0" w:color="A6A6A6" w:themeColor="background1" w:themeShade="A6"/>
            </w:tcBorders>
            <w:shd w:val="clear" w:color="auto" w:fill="FFFFFF" w:themeFill="background1"/>
            <w:vAlign w:val="center"/>
          </w:tcPr>
          <w:p w14:paraId="6CEC0A96" w14:textId="77777777" w:rsidR="00BF028F" w:rsidRPr="003058F5" w:rsidRDefault="00BF028F" w:rsidP="00F15919">
            <w:pPr>
              <w:pStyle w:val="Paragraphedeliste"/>
              <w:numPr>
                <w:ilvl w:val="0"/>
                <w:numId w:val="82"/>
              </w:numPr>
              <w:spacing w:line="276" w:lineRule="auto"/>
              <w:jc w:val="center"/>
              <w:textAlignment w:val="baseline"/>
              <w:rPr>
                <w:rFonts w:eastAsia="Times New Roman" w:cs="Arial"/>
                <w:szCs w:val="14"/>
                <w:lang w:eastAsia="en-GB"/>
              </w:rPr>
            </w:pPr>
          </w:p>
        </w:tc>
        <w:tc>
          <w:tcPr>
            <w:tcW w:w="1275" w:type="dxa"/>
            <w:gridSpan w:val="2"/>
            <w:tcBorders>
              <w:bottom w:val="single" w:sz="6" w:space="0" w:color="A6A6A6" w:themeColor="background1" w:themeShade="A6"/>
            </w:tcBorders>
            <w:shd w:val="clear" w:color="auto" w:fill="FFFFFF" w:themeFill="background1"/>
            <w:vAlign w:val="center"/>
          </w:tcPr>
          <w:p w14:paraId="365F0997" w14:textId="77777777" w:rsidR="00BF028F" w:rsidRPr="003058F5" w:rsidRDefault="00BF028F" w:rsidP="00F15919">
            <w:pPr>
              <w:pStyle w:val="Paragraphedeliste"/>
              <w:numPr>
                <w:ilvl w:val="0"/>
                <w:numId w:val="82"/>
              </w:numPr>
              <w:spacing w:line="276" w:lineRule="auto"/>
              <w:jc w:val="center"/>
              <w:textAlignment w:val="baseline"/>
              <w:rPr>
                <w:rFonts w:eastAsia="Times New Roman" w:cs="Arial"/>
                <w:szCs w:val="14"/>
                <w:lang w:eastAsia="en-GB"/>
              </w:rPr>
            </w:pPr>
          </w:p>
        </w:tc>
        <w:tc>
          <w:tcPr>
            <w:tcW w:w="1273" w:type="dxa"/>
            <w:gridSpan w:val="2"/>
            <w:tcBorders>
              <w:bottom w:val="single" w:sz="6" w:space="0" w:color="A6A6A6" w:themeColor="background1" w:themeShade="A6"/>
            </w:tcBorders>
            <w:shd w:val="clear" w:color="auto" w:fill="FFFFFF" w:themeFill="background1"/>
            <w:vAlign w:val="center"/>
          </w:tcPr>
          <w:p w14:paraId="76FFAB50" w14:textId="77777777" w:rsidR="00BF028F" w:rsidRPr="003058F5" w:rsidRDefault="00BF028F" w:rsidP="00F15919">
            <w:pPr>
              <w:pStyle w:val="Paragraphedeliste"/>
              <w:numPr>
                <w:ilvl w:val="0"/>
                <w:numId w:val="82"/>
              </w:numPr>
              <w:spacing w:line="276" w:lineRule="auto"/>
              <w:jc w:val="center"/>
              <w:textAlignment w:val="baseline"/>
              <w:rPr>
                <w:rFonts w:eastAsia="Times New Roman" w:cs="Arial"/>
                <w:szCs w:val="14"/>
                <w:lang w:eastAsia="en-GB"/>
              </w:rPr>
            </w:pPr>
          </w:p>
        </w:tc>
      </w:tr>
      <w:tr w:rsidR="00F94764" w:rsidRPr="003058F5" w14:paraId="5CF0E53B" w14:textId="77777777" w:rsidTr="00936155">
        <w:trPr>
          <w:gridAfter w:val="1"/>
          <w:wAfter w:w="24" w:type="dxa"/>
          <w:trHeight w:val="465"/>
        </w:trPr>
        <w:tc>
          <w:tcPr>
            <w:tcW w:w="3400"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50217A47" w14:textId="1D0BBE29" w:rsidR="00BF028F" w:rsidRPr="003058F5" w:rsidRDefault="00E1082D" w:rsidP="00C638D6">
            <w:pPr>
              <w:spacing w:line="276" w:lineRule="auto"/>
              <w:textAlignment w:val="baseline"/>
              <w:rPr>
                <w:rFonts w:eastAsia="Times New Roman" w:cs="Arial"/>
                <w:szCs w:val="16"/>
              </w:rPr>
            </w:pPr>
            <w:r>
              <w:t>(E) Nous ne disposons pas de processus formel permettant d’identifier et de prendre en compte les risques et incidents ESG majeurs dans notre processus de gestion des risques</w:t>
            </w:r>
            <w:r w:rsidR="00767929">
              <w:t> ;</w:t>
            </w:r>
            <w:r>
              <w:t xml:space="preserve"> nos professionnels de l'investissement identifient et prennent en compte les risques et incidents ESG majeurs à leur discrétion</w:t>
            </w:r>
          </w:p>
        </w:tc>
        <w:tc>
          <w:tcPr>
            <w:tcW w:w="1272" w:type="dxa"/>
            <w:shd w:val="clear" w:color="auto" w:fill="EDEDED" w:themeFill="accent3" w:themeFillTint="33"/>
            <w:vAlign w:val="center"/>
          </w:tcPr>
          <w:p w14:paraId="55970246" w14:textId="77777777" w:rsidR="00085D6F" w:rsidRPr="003058F5" w:rsidRDefault="00085D6F" w:rsidP="00845FCD">
            <w:pPr>
              <w:pStyle w:val="Paragraphedeliste"/>
              <w:numPr>
                <w:ilvl w:val="0"/>
                <w:numId w:val="30"/>
              </w:numPr>
              <w:spacing w:line="276" w:lineRule="auto"/>
              <w:jc w:val="center"/>
              <w:textAlignment w:val="baseline"/>
              <w:rPr>
                <w:rFonts w:eastAsia="Times New Roman" w:cs="Arial"/>
                <w:sz w:val="22"/>
                <w:szCs w:val="16"/>
                <w:lang w:eastAsia="en-GB"/>
              </w:rPr>
            </w:pPr>
          </w:p>
        </w:tc>
        <w:tc>
          <w:tcPr>
            <w:tcW w:w="1273" w:type="dxa"/>
            <w:shd w:val="clear" w:color="auto" w:fill="FFFFFF" w:themeFill="background1"/>
            <w:vAlign w:val="center"/>
          </w:tcPr>
          <w:p w14:paraId="2F5CDEFE" w14:textId="10DEFCDA" w:rsidR="00BF028F" w:rsidRPr="003058F5" w:rsidRDefault="00BF028F" w:rsidP="00845FCD">
            <w:pPr>
              <w:pStyle w:val="Paragraphedeliste"/>
              <w:numPr>
                <w:ilvl w:val="0"/>
                <w:numId w:val="30"/>
              </w:numPr>
              <w:spacing w:line="276" w:lineRule="auto"/>
              <w:jc w:val="center"/>
              <w:textAlignment w:val="baseline"/>
              <w:rPr>
                <w:rFonts w:eastAsia="Times New Roman" w:cs="Arial"/>
                <w:sz w:val="22"/>
                <w:szCs w:val="16"/>
                <w:lang w:eastAsia="en-GB"/>
              </w:rPr>
            </w:pPr>
          </w:p>
        </w:tc>
        <w:tc>
          <w:tcPr>
            <w:tcW w:w="1273" w:type="dxa"/>
            <w:gridSpan w:val="2"/>
            <w:tcBorders>
              <w:bottom w:val="single" w:sz="6" w:space="0" w:color="A6A6A6" w:themeColor="background1" w:themeShade="A6"/>
            </w:tcBorders>
            <w:shd w:val="clear" w:color="auto" w:fill="FFFFFF" w:themeFill="background1"/>
            <w:vAlign w:val="center"/>
          </w:tcPr>
          <w:p w14:paraId="18E39104" w14:textId="77777777" w:rsidR="00BF028F" w:rsidRPr="003058F5" w:rsidRDefault="00BF028F" w:rsidP="00845FCD">
            <w:pPr>
              <w:pStyle w:val="Paragraphedeliste"/>
              <w:numPr>
                <w:ilvl w:val="0"/>
                <w:numId w:val="30"/>
              </w:numPr>
              <w:spacing w:line="276" w:lineRule="auto"/>
              <w:jc w:val="center"/>
              <w:textAlignment w:val="baseline"/>
              <w:rPr>
                <w:rFonts w:eastAsia="Times New Roman" w:cs="Arial"/>
                <w:sz w:val="22"/>
                <w:szCs w:val="16"/>
                <w:lang w:eastAsia="en-GB"/>
              </w:rPr>
            </w:pPr>
          </w:p>
        </w:tc>
        <w:tc>
          <w:tcPr>
            <w:tcW w:w="1273" w:type="dxa"/>
            <w:tcBorders>
              <w:bottom w:val="single" w:sz="6" w:space="0" w:color="A6A6A6" w:themeColor="background1" w:themeShade="A6"/>
            </w:tcBorders>
            <w:shd w:val="clear" w:color="auto" w:fill="FFFFFF" w:themeFill="background1"/>
            <w:vAlign w:val="center"/>
          </w:tcPr>
          <w:p w14:paraId="6D3EF8A7" w14:textId="77777777" w:rsidR="00BF028F" w:rsidRPr="003058F5" w:rsidRDefault="00BF028F" w:rsidP="00845FCD">
            <w:pPr>
              <w:pStyle w:val="Paragraphedeliste"/>
              <w:numPr>
                <w:ilvl w:val="0"/>
                <w:numId w:val="30"/>
              </w:numPr>
              <w:spacing w:line="276" w:lineRule="auto"/>
              <w:jc w:val="center"/>
              <w:textAlignment w:val="baseline"/>
              <w:rPr>
                <w:rFonts w:eastAsia="Times New Roman" w:cs="Arial"/>
                <w:sz w:val="22"/>
                <w:szCs w:val="16"/>
                <w:lang w:eastAsia="en-GB"/>
              </w:rPr>
            </w:pPr>
          </w:p>
        </w:tc>
        <w:tc>
          <w:tcPr>
            <w:tcW w:w="1275" w:type="dxa"/>
            <w:gridSpan w:val="2"/>
            <w:tcBorders>
              <w:bottom w:val="single" w:sz="6" w:space="0" w:color="A6A6A6" w:themeColor="background1" w:themeShade="A6"/>
            </w:tcBorders>
            <w:shd w:val="clear" w:color="auto" w:fill="FFFFFF" w:themeFill="background1"/>
            <w:vAlign w:val="center"/>
          </w:tcPr>
          <w:p w14:paraId="23D61355" w14:textId="77777777" w:rsidR="00BF028F" w:rsidRPr="003058F5" w:rsidRDefault="00BF028F" w:rsidP="00845FCD">
            <w:pPr>
              <w:pStyle w:val="Paragraphedeliste"/>
              <w:numPr>
                <w:ilvl w:val="0"/>
                <w:numId w:val="30"/>
              </w:numPr>
              <w:spacing w:line="276" w:lineRule="auto"/>
              <w:jc w:val="center"/>
              <w:textAlignment w:val="baseline"/>
              <w:rPr>
                <w:rFonts w:eastAsia="Times New Roman" w:cs="Arial"/>
                <w:sz w:val="22"/>
                <w:szCs w:val="16"/>
                <w:lang w:eastAsia="en-GB"/>
              </w:rPr>
            </w:pPr>
          </w:p>
        </w:tc>
        <w:tc>
          <w:tcPr>
            <w:tcW w:w="1273" w:type="dxa"/>
            <w:gridSpan w:val="2"/>
            <w:tcBorders>
              <w:bottom w:val="single" w:sz="6" w:space="0" w:color="A6A6A6" w:themeColor="background1" w:themeShade="A6"/>
            </w:tcBorders>
            <w:shd w:val="clear" w:color="auto" w:fill="FFFFFF" w:themeFill="background1"/>
            <w:vAlign w:val="center"/>
          </w:tcPr>
          <w:p w14:paraId="66B076AC" w14:textId="77777777" w:rsidR="00BF028F" w:rsidRPr="003058F5" w:rsidRDefault="00BF028F" w:rsidP="00845FCD">
            <w:pPr>
              <w:pStyle w:val="Paragraphedeliste"/>
              <w:numPr>
                <w:ilvl w:val="0"/>
                <w:numId w:val="30"/>
              </w:numPr>
              <w:spacing w:line="276" w:lineRule="auto"/>
              <w:jc w:val="center"/>
              <w:textAlignment w:val="baseline"/>
              <w:rPr>
                <w:rFonts w:eastAsia="Times New Roman" w:cs="Arial"/>
                <w:sz w:val="22"/>
                <w:szCs w:val="16"/>
                <w:lang w:eastAsia="en-GB"/>
              </w:rPr>
            </w:pPr>
          </w:p>
        </w:tc>
        <w:tc>
          <w:tcPr>
            <w:tcW w:w="1273" w:type="dxa"/>
            <w:tcBorders>
              <w:bottom w:val="single" w:sz="6" w:space="0" w:color="A6A6A6" w:themeColor="background1" w:themeShade="A6"/>
            </w:tcBorders>
            <w:shd w:val="clear" w:color="auto" w:fill="FFFFFF" w:themeFill="background1"/>
            <w:vAlign w:val="center"/>
          </w:tcPr>
          <w:p w14:paraId="1AC599AD" w14:textId="77777777" w:rsidR="00BF028F" w:rsidRPr="003058F5" w:rsidRDefault="00BF028F" w:rsidP="00845FCD">
            <w:pPr>
              <w:pStyle w:val="Paragraphedeliste"/>
              <w:numPr>
                <w:ilvl w:val="0"/>
                <w:numId w:val="30"/>
              </w:numPr>
              <w:spacing w:line="276" w:lineRule="auto"/>
              <w:jc w:val="center"/>
              <w:textAlignment w:val="baseline"/>
              <w:rPr>
                <w:rFonts w:eastAsia="Times New Roman" w:cs="Arial"/>
                <w:sz w:val="22"/>
                <w:szCs w:val="16"/>
                <w:lang w:eastAsia="en-GB"/>
              </w:rPr>
            </w:pPr>
          </w:p>
        </w:tc>
        <w:tc>
          <w:tcPr>
            <w:tcW w:w="1275" w:type="dxa"/>
            <w:gridSpan w:val="2"/>
            <w:tcBorders>
              <w:bottom w:val="single" w:sz="6" w:space="0" w:color="A6A6A6" w:themeColor="background1" w:themeShade="A6"/>
            </w:tcBorders>
            <w:shd w:val="clear" w:color="auto" w:fill="FFFFFF" w:themeFill="background1"/>
            <w:vAlign w:val="center"/>
          </w:tcPr>
          <w:p w14:paraId="29A5389F" w14:textId="77777777" w:rsidR="00BF028F" w:rsidRPr="003058F5" w:rsidRDefault="00BF028F" w:rsidP="00845FCD">
            <w:pPr>
              <w:pStyle w:val="Paragraphedeliste"/>
              <w:numPr>
                <w:ilvl w:val="0"/>
                <w:numId w:val="30"/>
              </w:numPr>
              <w:spacing w:line="276" w:lineRule="auto"/>
              <w:jc w:val="center"/>
              <w:textAlignment w:val="baseline"/>
              <w:rPr>
                <w:rFonts w:eastAsia="Times New Roman" w:cs="Arial"/>
                <w:sz w:val="22"/>
                <w:szCs w:val="16"/>
                <w:lang w:eastAsia="en-GB"/>
              </w:rPr>
            </w:pPr>
          </w:p>
        </w:tc>
        <w:tc>
          <w:tcPr>
            <w:tcW w:w="1273" w:type="dxa"/>
            <w:gridSpan w:val="2"/>
            <w:tcBorders>
              <w:bottom w:val="single" w:sz="6" w:space="0" w:color="A6A6A6" w:themeColor="background1" w:themeShade="A6"/>
            </w:tcBorders>
            <w:shd w:val="clear" w:color="auto" w:fill="FFFFFF" w:themeFill="background1"/>
            <w:vAlign w:val="center"/>
          </w:tcPr>
          <w:p w14:paraId="4279FD22" w14:textId="77777777" w:rsidR="00BF028F" w:rsidRPr="003058F5" w:rsidRDefault="00BF028F" w:rsidP="00845FCD">
            <w:pPr>
              <w:pStyle w:val="Paragraphedeliste"/>
              <w:numPr>
                <w:ilvl w:val="0"/>
                <w:numId w:val="30"/>
              </w:numPr>
              <w:spacing w:line="276" w:lineRule="auto"/>
              <w:jc w:val="center"/>
              <w:textAlignment w:val="baseline"/>
              <w:rPr>
                <w:rFonts w:eastAsia="Times New Roman" w:cs="Arial"/>
                <w:sz w:val="22"/>
                <w:szCs w:val="16"/>
                <w:lang w:eastAsia="en-GB"/>
              </w:rPr>
            </w:pPr>
          </w:p>
        </w:tc>
      </w:tr>
      <w:tr w:rsidR="00F94764" w:rsidRPr="003058F5" w14:paraId="0A0F147C" w14:textId="77777777" w:rsidTr="00936155">
        <w:trPr>
          <w:gridAfter w:val="1"/>
          <w:wAfter w:w="24" w:type="dxa"/>
          <w:trHeight w:val="465"/>
        </w:trPr>
        <w:tc>
          <w:tcPr>
            <w:tcW w:w="3400"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391F310D" w14:textId="668AF140" w:rsidR="00B6715F" w:rsidRPr="003058F5" w:rsidRDefault="002456F2" w:rsidP="00C638D6">
            <w:pPr>
              <w:spacing w:line="276" w:lineRule="auto"/>
              <w:textAlignment w:val="baseline"/>
            </w:pPr>
            <w:r>
              <w:t xml:space="preserve">(F) Nous ne disposons pas de processus formel permettant d’identifier et de prendre en compte les </w:t>
            </w:r>
            <w:r w:rsidR="00376A0C">
              <w:t>risques et incidents ESG</w:t>
            </w:r>
            <w:r>
              <w:t xml:space="preserve"> </w:t>
            </w:r>
            <w:r>
              <w:lastRenderedPageBreak/>
              <w:t>majeurs dans notre processus de gestion des risques</w:t>
            </w:r>
          </w:p>
        </w:tc>
        <w:tc>
          <w:tcPr>
            <w:tcW w:w="1272" w:type="dxa"/>
            <w:tcBorders>
              <w:bottom w:val="single" w:sz="6" w:space="0" w:color="A6A6A6" w:themeColor="background1" w:themeShade="A6"/>
            </w:tcBorders>
            <w:shd w:val="clear" w:color="auto" w:fill="EDEDED" w:themeFill="accent3" w:themeFillTint="33"/>
            <w:vAlign w:val="center"/>
          </w:tcPr>
          <w:p w14:paraId="3C2D984A" w14:textId="77777777" w:rsidR="00085D6F" w:rsidRPr="003058F5" w:rsidRDefault="00085D6F" w:rsidP="00845FCD">
            <w:pPr>
              <w:pStyle w:val="Paragraphedeliste"/>
              <w:numPr>
                <w:ilvl w:val="0"/>
                <w:numId w:val="30"/>
              </w:numPr>
              <w:spacing w:line="276" w:lineRule="auto"/>
              <w:jc w:val="center"/>
              <w:textAlignment w:val="baseline"/>
              <w:rPr>
                <w:rFonts w:eastAsia="Times New Roman" w:cs="Arial"/>
                <w:sz w:val="22"/>
                <w:szCs w:val="16"/>
                <w:lang w:eastAsia="en-GB"/>
              </w:rPr>
            </w:pPr>
          </w:p>
        </w:tc>
        <w:tc>
          <w:tcPr>
            <w:tcW w:w="1273" w:type="dxa"/>
            <w:tcBorders>
              <w:bottom w:val="single" w:sz="6" w:space="0" w:color="A6A6A6" w:themeColor="background1" w:themeShade="A6"/>
            </w:tcBorders>
            <w:shd w:val="clear" w:color="auto" w:fill="FFFFFF" w:themeFill="background1"/>
            <w:vAlign w:val="center"/>
          </w:tcPr>
          <w:p w14:paraId="7CA986E7" w14:textId="07149891" w:rsidR="00B6715F" w:rsidRPr="003058F5" w:rsidRDefault="00B6715F" w:rsidP="00845FCD">
            <w:pPr>
              <w:pStyle w:val="Paragraphedeliste"/>
              <w:numPr>
                <w:ilvl w:val="0"/>
                <w:numId w:val="30"/>
              </w:numPr>
              <w:spacing w:line="276" w:lineRule="auto"/>
              <w:jc w:val="center"/>
              <w:textAlignment w:val="baseline"/>
              <w:rPr>
                <w:rFonts w:eastAsia="Times New Roman" w:cs="Arial"/>
                <w:sz w:val="22"/>
                <w:szCs w:val="16"/>
                <w:lang w:eastAsia="en-GB"/>
              </w:rPr>
            </w:pPr>
          </w:p>
        </w:tc>
        <w:tc>
          <w:tcPr>
            <w:tcW w:w="1273" w:type="dxa"/>
            <w:gridSpan w:val="2"/>
            <w:tcBorders>
              <w:bottom w:val="single" w:sz="6" w:space="0" w:color="A6A6A6" w:themeColor="background1" w:themeShade="A6"/>
            </w:tcBorders>
            <w:shd w:val="clear" w:color="auto" w:fill="FFFFFF" w:themeFill="background1"/>
            <w:vAlign w:val="center"/>
          </w:tcPr>
          <w:p w14:paraId="0EA93B31" w14:textId="77777777" w:rsidR="00B6715F" w:rsidRPr="003058F5" w:rsidRDefault="00B6715F" w:rsidP="00845FCD">
            <w:pPr>
              <w:pStyle w:val="Paragraphedeliste"/>
              <w:numPr>
                <w:ilvl w:val="0"/>
                <w:numId w:val="30"/>
              </w:numPr>
              <w:spacing w:line="276" w:lineRule="auto"/>
              <w:jc w:val="center"/>
              <w:textAlignment w:val="baseline"/>
              <w:rPr>
                <w:rFonts w:eastAsia="Times New Roman" w:cs="Arial"/>
                <w:sz w:val="22"/>
                <w:szCs w:val="16"/>
                <w:lang w:eastAsia="en-GB"/>
              </w:rPr>
            </w:pPr>
          </w:p>
        </w:tc>
        <w:tc>
          <w:tcPr>
            <w:tcW w:w="1273" w:type="dxa"/>
            <w:tcBorders>
              <w:bottom w:val="single" w:sz="6" w:space="0" w:color="A6A6A6" w:themeColor="background1" w:themeShade="A6"/>
            </w:tcBorders>
            <w:shd w:val="clear" w:color="auto" w:fill="FFFFFF" w:themeFill="background1"/>
            <w:vAlign w:val="center"/>
          </w:tcPr>
          <w:p w14:paraId="0D50703D" w14:textId="77777777" w:rsidR="00B6715F" w:rsidRPr="003058F5" w:rsidRDefault="00B6715F" w:rsidP="00845FCD">
            <w:pPr>
              <w:pStyle w:val="Paragraphedeliste"/>
              <w:numPr>
                <w:ilvl w:val="0"/>
                <w:numId w:val="30"/>
              </w:numPr>
              <w:spacing w:line="276" w:lineRule="auto"/>
              <w:jc w:val="center"/>
              <w:textAlignment w:val="baseline"/>
              <w:rPr>
                <w:rFonts w:eastAsia="Times New Roman" w:cs="Arial"/>
                <w:sz w:val="22"/>
                <w:szCs w:val="16"/>
                <w:lang w:eastAsia="en-GB"/>
              </w:rPr>
            </w:pPr>
          </w:p>
        </w:tc>
        <w:tc>
          <w:tcPr>
            <w:tcW w:w="1275" w:type="dxa"/>
            <w:gridSpan w:val="2"/>
            <w:tcBorders>
              <w:bottom w:val="single" w:sz="6" w:space="0" w:color="A6A6A6" w:themeColor="background1" w:themeShade="A6"/>
            </w:tcBorders>
            <w:shd w:val="clear" w:color="auto" w:fill="FFFFFF" w:themeFill="background1"/>
            <w:vAlign w:val="center"/>
          </w:tcPr>
          <w:p w14:paraId="61EE98CB" w14:textId="77777777" w:rsidR="00B6715F" w:rsidRPr="003058F5" w:rsidRDefault="00B6715F" w:rsidP="00845FCD">
            <w:pPr>
              <w:pStyle w:val="Paragraphedeliste"/>
              <w:numPr>
                <w:ilvl w:val="0"/>
                <w:numId w:val="30"/>
              </w:numPr>
              <w:spacing w:line="276" w:lineRule="auto"/>
              <w:jc w:val="center"/>
              <w:textAlignment w:val="baseline"/>
              <w:rPr>
                <w:rFonts w:eastAsia="Times New Roman" w:cs="Arial"/>
                <w:sz w:val="22"/>
                <w:szCs w:val="16"/>
                <w:lang w:eastAsia="en-GB"/>
              </w:rPr>
            </w:pPr>
          </w:p>
        </w:tc>
        <w:tc>
          <w:tcPr>
            <w:tcW w:w="1273" w:type="dxa"/>
            <w:gridSpan w:val="2"/>
            <w:tcBorders>
              <w:bottom w:val="single" w:sz="6" w:space="0" w:color="A6A6A6" w:themeColor="background1" w:themeShade="A6"/>
            </w:tcBorders>
            <w:shd w:val="clear" w:color="auto" w:fill="FFFFFF" w:themeFill="background1"/>
            <w:vAlign w:val="center"/>
          </w:tcPr>
          <w:p w14:paraId="19688C46" w14:textId="77777777" w:rsidR="00B6715F" w:rsidRPr="003058F5" w:rsidRDefault="00B6715F" w:rsidP="00845FCD">
            <w:pPr>
              <w:pStyle w:val="Paragraphedeliste"/>
              <w:numPr>
                <w:ilvl w:val="0"/>
                <w:numId w:val="30"/>
              </w:numPr>
              <w:spacing w:line="276" w:lineRule="auto"/>
              <w:jc w:val="center"/>
              <w:textAlignment w:val="baseline"/>
              <w:rPr>
                <w:rFonts w:eastAsia="Times New Roman" w:cs="Arial"/>
                <w:sz w:val="22"/>
                <w:szCs w:val="16"/>
                <w:lang w:eastAsia="en-GB"/>
              </w:rPr>
            </w:pPr>
          </w:p>
        </w:tc>
        <w:tc>
          <w:tcPr>
            <w:tcW w:w="1273" w:type="dxa"/>
            <w:tcBorders>
              <w:bottom w:val="single" w:sz="6" w:space="0" w:color="A6A6A6" w:themeColor="background1" w:themeShade="A6"/>
            </w:tcBorders>
            <w:shd w:val="clear" w:color="auto" w:fill="FFFFFF" w:themeFill="background1"/>
            <w:vAlign w:val="center"/>
          </w:tcPr>
          <w:p w14:paraId="5ADA1BD1" w14:textId="77777777" w:rsidR="00B6715F" w:rsidRPr="003058F5" w:rsidRDefault="00B6715F" w:rsidP="00845FCD">
            <w:pPr>
              <w:pStyle w:val="Paragraphedeliste"/>
              <w:numPr>
                <w:ilvl w:val="0"/>
                <w:numId w:val="30"/>
              </w:numPr>
              <w:spacing w:line="276" w:lineRule="auto"/>
              <w:jc w:val="center"/>
              <w:textAlignment w:val="baseline"/>
              <w:rPr>
                <w:rFonts w:eastAsia="Times New Roman" w:cs="Arial"/>
                <w:sz w:val="22"/>
                <w:szCs w:val="16"/>
                <w:lang w:eastAsia="en-GB"/>
              </w:rPr>
            </w:pPr>
          </w:p>
        </w:tc>
        <w:tc>
          <w:tcPr>
            <w:tcW w:w="1275" w:type="dxa"/>
            <w:gridSpan w:val="2"/>
            <w:tcBorders>
              <w:bottom w:val="single" w:sz="6" w:space="0" w:color="A6A6A6" w:themeColor="background1" w:themeShade="A6"/>
            </w:tcBorders>
            <w:shd w:val="clear" w:color="auto" w:fill="FFFFFF" w:themeFill="background1"/>
            <w:vAlign w:val="center"/>
          </w:tcPr>
          <w:p w14:paraId="7C69F837" w14:textId="77777777" w:rsidR="00B6715F" w:rsidRPr="003058F5" w:rsidRDefault="00B6715F" w:rsidP="00845FCD">
            <w:pPr>
              <w:pStyle w:val="Paragraphedeliste"/>
              <w:numPr>
                <w:ilvl w:val="0"/>
                <w:numId w:val="30"/>
              </w:numPr>
              <w:spacing w:line="276" w:lineRule="auto"/>
              <w:jc w:val="center"/>
              <w:textAlignment w:val="baseline"/>
              <w:rPr>
                <w:rFonts w:eastAsia="Times New Roman" w:cs="Arial"/>
                <w:sz w:val="22"/>
                <w:szCs w:val="16"/>
                <w:lang w:eastAsia="en-GB"/>
              </w:rPr>
            </w:pPr>
          </w:p>
        </w:tc>
        <w:tc>
          <w:tcPr>
            <w:tcW w:w="1273" w:type="dxa"/>
            <w:gridSpan w:val="2"/>
            <w:tcBorders>
              <w:bottom w:val="single" w:sz="6" w:space="0" w:color="A6A6A6" w:themeColor="background1" w:themeShade="A6"/>
            </w:tcBorders>
            <w:shd w:val="clear" w:color="auto" w:fill="FFFFFF" w:themeFill="background1"/>
            <w:vAlign w:val="center"/>
          </w:tcPr>
          <w:p w14:paraId="08644747" w14:textId="77777777" w:rsidR="00B6715F" w:rsidRPr="003058F5" w:rsidRDefault="00B6715F" w:rsidP="00845FCD">
            <w:pPr>
              <w:pStyle w:val="Paragraphedeliste"/>
              <w:numPr>
                <w:ilvl w:val="0"/>
                <w:numId w:val="30"/>
              </w:numPr>
              <w:spacing w:line="276" w:lineRule="auto"/>
              <w:jc w:val="center"/>
              <w:textAlignment w:val="baseline"/>
              <w:rPr>
                <w:rFonts w:eastAsia="Times New Roman" w:cs="Arial"/>
                <w:sz w:val="22"/>
                <w:szCs w:val="16"/>
                <w:lang w:eastAsia="en-GB"/>
              </w:rPr>
            </w:pPr>
          </w:p>
        </w:tc>
      </w:tr>
      <w:tr w:rsidR="00EC0B39" w:rsidRPr="003058F5" w14:paraId="6D8C2CF5" w14:textId="77777777" w:rsidTr="00F15919">
        <w:trPr>
          <w:gridAfter w:val="2"/>
          <w:wAfter w:w="24" w:type="dxa"/>
          <w:trHeight w:val="300"/>
        </w:trPr>
        <w:tc>
          <w:tcPr>
            <w:tcW w:w="14860" w:type="dxa"/>
            <w:gridSpan w:val="15"/>
            <w:tcBorders>
              <w:left w:val="nil"/>
              <w:right w:val="nil"/>
            </w:tcBorders>
            <w:shd w:val="clear" w:color="auto" w:fill="FFFFFF" w:themeFill="background1"/>
            <w:tcMar>
              <w:top w:w="0" w:type="dxa"/>
              <w:bottom w:w="0" w:type="dxa"/>
            </w:tcMar>
            <w:vAlign w:val="center"/>
          </w:tcPr>
          <w:p w14:paraId="083B7F38" w14:textId="77777777" w:rsidR="00EC0B39" w:rsidRPr="003058F5" w:rsidRDefault="00EC0B39" w:rsidP="00082BCE">
            <w:pPr>
              <w:spacing w:line="240" w:lineRule="auto"/>
              <w:jc w:val="center"/>
              <w:textAlignment w:val="baseline"/>
              <w:rPr>
                <w:rStyle w:val="Lienhypertexte"/>
                <w:sz w:val="16"/>
                <w:szCs w:val="16"/>
              </w:rPr>
            </w:pPr>
          </w:p>
        </w:tc>
      </w:tr>
      <w:tr w:rsidR="00EC0B39" w:rsidRPr="003058F5" w14:paraId="2C27400F" w14:textId="77777777" w:rsidTr="00F15919">
        <w:trPr>
          <w:gridAfter w:val="2"/>
          <w:wAfter w:w="24" w:type="dxa"/>
          <w:trHeight w:val="300"/>
        </w:trPr>
        <w:tc>
          <w:tcPr>
            <w:tcW w:w="14860" w:type="dxa"/>
            <w:gridSpan w:val="15"/>
            <w:shd w:val="clear" w:color="auto" w:fill="0070C0"/>
            <w:vAlign w:val="center"/>
          </w:tcPr>
          <w:p w14:paraId="35A593E3" w14:textId="77777777" w:rsidR="00EC0B39" w:rsidRPr="003058F5" w:rsidRDefault="00EC0B39" w:rsidP="00082BCE">
            <w:pPr>
              <w:rPr>
                <w:rStyle w:val="Lienhypertexte"/>
                <w:b/>
                <w:bCs/>
                <w:color w:val="FFFFFF" w:themeColor="background1"/>
                <w:sz w:val="18"/>
                <w:szCs w:val="18"/>
              </w:rPr>
            </w:pPr>
            <w:r>
              <w:rPr>
                <w:b/>
                <w:color w:val="FFFFFF" w:themeColor="background1"/>
                <w:sz w:val="18"/>
              </w:rPr>
              <w:t>Notes explicatives</w:t>
            </w:r>
          </w:p>
        </w:tc>
      </w:tr>
      <w:tr w:rsidR="00EC0B39" w:rsidRPr="003058F5" w14:paraId="41829801" w14:textId="77777777" w:rsidTr="00F15919">
        <w:trPr>
          <w:gridAfter w:val="2"/>
          <w:wAfter w:w="24" w:type="dxa"/>
          <w:trHeight w:val="300"/>
        </w:trPr>
        <w:tc>
          <w:tcPr>
            <w:tcW w:w="1843" w:type="dxa"/>
            <w:shd w:val="clear" w:color="auto" w:fill="auto"/>
            <w:vAlign w:val="center"/>
          </w:tcPr>
          <w:p w14:paraId="78D15C0F" w14:textId="77777777" w:rsidR="00EC0B39" w:rsidRPr="003058F5" w:rsidRDefault="00EC0B39" w:rsidP="00082BCE">
            <w:pPr>
              <w:rPr>
                <w:rStyle w:val="Lienhypertexte"/>
                <w:b/>
                <w:sz w:val="16"/>
                <w:szCs w:val="16"/>
              </w:rPr>
            </w:pPr>
            <w:r>
              <w:rPr>
                <w:b/>
                <w:sz w:val="16"/>
              </w:rPr>
              <w:t>Objectif de l’indicateur</w:t>
            </w:r>
          </w:p>
        </w:tc>
        <w:tc>
          <w:tcPr>
            <w:tcW w:w="13017" w:type="dxa"/>
            <w:gridSpan w:val="14"/>
            <w:shd w:val="clear" w:color="auto" w:fill="auto"/>
            <w:vAlign w:val="center"/>
          </w:tcPr>
          <w:p w14:paraId="12C598C6" w14:textId="303A84E9" w:rsidR="00EC0B39" w:rsidRPr="003058F5" w:rsidRDefault="00F01C7D" w:rsidP="00082BCE">
            <w:pPr>
              <w:rPr>
                <w:rStyle w:val="Lienhypertexte"/>
                <w:color w:val="000000" w:themeColor="text1"/>
                <w:sz w:val="16"/>
                <w:szCs w:val="16"/>
              </w:rPr>
            </w:pPr>
            <w:r>
              <w:rPr>
                <w:rStyle w:val="Lienhypertexte"/>
                <w:color w:val="000000" w:themeColor="text1"/>
                <w:sz w:val="16"/>
              </w:rPr>
              <w:t xml:space="preserve">Cet indicateur vise à évaluer si les processus de gestion des risques des signataires prennent formellement en compte les </w:t>
            </w:r>
            <w:r w:rsidR="00376A0C">
              <w:rPr>
                <w:rStyle w:val="Lienhypertexte"/>
                <w:color w:val="000000" w:themeColor="text1"/>
                <w:sz w:val="16"/>
              </w:rPr>
              <w:t>risques et incidents ESG</w:t>
            </w:r>
            <w:r>
              <w:rPr>
                <w:rStyle w:val="Lienhypertexte"/>
                <w:color w:val="000000" w:themeColor="text1"/>
                <w:sz w:val="16"/>
              </w:rPr>
              <w:t xml:space="preserve"> majeurs dans la recherche et les décisions d'investissement. Il est recommandé de disposer d’un processus formel permettant d’identifier et de prendre en compte régulièrement les </w:t>
            </w:r>
            <w:r w:rsidR="00376A0C">
              <w:rPr>
                <w:rStyle w:val="Lienhypertexte"/>
                <w:color w:val="000000" w:themeColor="text1"/>
                <w:sz w:val="16"/>
              </w:rPr>
              <w:t>risques et incidents ESG</w:t>
            </w:r>
            <w:r>
              <w:rPr>
                <w:rStyle w:val="Lienhypertexte"/>
                <w:color w:val="000000" w:themeColor="text1"/>
                <w:sz w:val="16"/>
              </w:rPr>
              <w:t xml:space="preserve">, idéalement au niveau de chaque actif, afin d'établir le niveau approprié de surveillance et d'examen pour correctement éclairer les décisions d'investissement. Ce processus doit permettre d'identifier les risques et les incidents qui </w:t>
            </w:r>
            <w:proofErr w:type="gramStart"/>
            <w:r>
              <w:rPr>
                <w:rStyle w:val="Lienhypertexte"/>
                <w:color w:val="000000" w:themeColor="text1"/>
                <w:sz w:val="16"/>
              </w:rPr>
              <w:t>ont</w:t>
            </w:r>
            <w:proofErr w:type="gramEnd"/>
            <w:r>
              <w:rPr>
                <w:rStyle w:val="Lienhypertexte"/>
                <w:color w:val="000000" w:themeColor="text1"/>
                <w:sz w:val="16"/>
              </w:rPr>
              <w:t xml:space="preserve"> des conséquences importantes sur l'évaluation ou le modèle commercial, qui pourraient également avoir des conséquences sur la société de gestion en termes de risque d’atteinte à la réputation.</w:t>
            </w:r>
          </w:p>
        </w:tc>
      </w:tr>
      <w:tr w:rsidR="00EC0B39" w:rsidRPr="003058F5" w14:paraId="691DF240" w14:textId="77777777" w:rsidTr="00F15919">
        <w:trPr>
          <w:gridAfter w:val="2"/>
          <w:wAfter w:w="24" w:type="dxa"/>
          <w:trHeight w:val="300"/>
        </w:trPr>
        <w:tc>
          <w:tcPr>
            <w:tcW w:w="1843" w:type="dxa"/>
            <w:shd w:val="clear" w:color="auto" w:fill="auto"/>
            <w:vAlign w:val="center"/>
          </w:tcPr>
          <w:p w14:paraId="4A0E416B" w14:textId="5009BEA1" w:rsidR="00EC0B39" w:rsidRPr="003058F5" w:rsidRDefault="004B4572" w:rsidP="00082BCE">
            <w:pPr>
              <w:rPr>
                <w:rStyle w:val="Lienhypertexte"/>
                <w:b/>
                <w:sz w:val="16"/>
                <w:szCs w:val="16"/>
              </w:rPr>
            </w:pPr>
            <w:r>
              <w:rPr>
                <w:b/>
                <w:sz w:val="16"/>
              </w:rPr>
              <w:t>Recommandations supplémentaires</w:t>
            </w:r>
            <w:r w:rsidR="00EC0B39">
              <w:rPr>
                <w:b/>
                <w:sz w:val="16"/>
              </w:rPr>
              <w:t xml:space="preserve"> en matière de </w:t>
            </w:r>
            <w:proofErr w:type="spellStart"/>
            <w:r w:rsidR="00EC0B39">
              <w:rPr>
                <w:b/>
                <w:sz w:val="16"/>
              </w:rPr>
              <w:t>reporting</w:t>
            </w:r>
            <w:proofErr w:type="spellEnd"/>
          </w:p>
        </w:tc>
        <w:tc>
          <w:tcPr>
            <w:tcW w:w="13017" w:type="dxa"/>
            <w:gridSpan w:val="14"/>
            <w:shd w:val="clear" w:color="auto" w:fill="auto"/>
            <w:vAlign w:val="center"/>
          </w:tcPr>
          <w:p w14:paraId="1FF084A8" w14:textId="6B2466A6" w:rsidR="00813464" w:rsidRPr="003058F5" w:rsidRDefault="00FE4EC5" w:rsidP="00813464">
            <w:pPr>
              <w:rPr>
                <w:rStyle w:val="Lienhypertexte"/>
                <w:color w:val="000000" w:themeColor="text1"/>
                <w:sz w:val="16"/>
                <w:szCs w:val="16"/>
              </w:rPr>
            </w:pPr>
            <w:r>
              <w:rPr>
                <w:rStyle w:val="Lienhypertexte"/>
                <w:color w:val="000000" w:themeColor="text1"/>
                <w:sz w:val="16"/>
              </w:rPr>
              <w:t xml:space="preserve">Dans cet indicateur, un processus </w:t>
            </w:r>
            <w:r w:rsidR="00FC3BD3">
              <w:rPr>
                <w:rStyle w:val="Lienhypertexte"/>
                <w:color w:val="000000" w:themeColor="text1"/>
                <w:sz w:val="16"/>
              </w:rPr>
              <w:t>« </w:t>
            </w:r>
            <w:r>
              <w:rPr>
                <w:rStyle w:val="Lienhypertexte"/>
                <w:color w:val="000000" w:themeColor="text1"/>
                <w:sz w:val="16"/>
              </w:rPr>
              <w:t>formel</w:t>
            </w:r>
            <w:r w:rsidR="00FC3BD3">
              <w:rPr>
                <w:rStyle w:val="Lienhypertexte"/>
                <w:color w:val="000000" w:themeColor="text1"/>
                <w:sz w:val="16"/>
              </w:rPr>
              <w:t> »</w:t>
            </w:r>
            <w:r>
              <w:rPr>
                <w:rStyle w:val="Lienhypertexte"/>
                <w:color w:val="000000" w:themeColor="text1"/>
                <w:sz w:val="16"/>
              </w:rPr>
              <w:t xml:space="preserve"> fait référence à une structure et à </w:t>
            </w:r>
            <w:proofErr w:type="gramStart"/>
            <w:r>
              <w:rPr>
                <w:rStyle w:val="Lienhypertexte"/>
                <w:color w:val="000000" w:themeColor="text1"/>
                <w:sz w:val="16"/>
              </w:rPr>
              <w:t xml:space="preserve">un processus </w:t>
            </w:r>
            <w:r w:rsidR="001A4E79">
              <w:rPr>
                <w:rStyle w:val="Lienhypertexte"/>
                <w:color w:val="000000" w:themeColor="text1"/>
                <w:sz w:val="16"/>
              </w:rPr>
              <w:t>prédéfinis</w:t>
            </w:r>
            <w:proofErr w:type="gramEnd"/>
            <w:r>
              <w:rPr>
                <w:rStyle w:val="Lienhypertexte"/>
                <w:color w:val="000000" w:themeColor="text1"/>
                <w:sz w:val="16"/>
              </w:rPr>
              <w:t>, incluant la supervision et la responsabilité de mise en œuvre dudit processus.</w:t>
            </w:r>
          </w:p>
        </w:tc>
      </w:tr>
      <w:tr w:rsidR="00EC0B39" w:rsidRPr="003058F5" w14:paraId="0E4652A4" w14:textId="77777777" w:rsidTr="00F15919">
        <w:trPr>
          <w:gridAfter w:val="2"/>
          <w:wAfter w:w="24" w:type="dxa"/>
          <w:trHeight w:val="300"/>
        </w:trPr>
        <w:tc>
          <w:tcPr>
            <w:tcW w:w="1843" w:type="dxa"/>
            <w:shd w:val="clear" w:color="auto" w:fill="auto"/>
            <w:vAlign w:val="center"/>
          </w:tcPr>
          <w:p w14:paraId="3CE37D8E" w14:textId="77777777" w:rsidR="00EC0B39" w:rsidRPr="003058F5" w:rsidRDefault="00EC0B39" w:rsidP="00082BCE">
            <w:pPr>
              <w:rPr>
                <w:b/>
                <w:bCs/>
                <w:sz w:val="16"/>
                <w:szCs w:val="16"/>
              </w:rPr>
            </w:pPr>
            <w:r>
              <w:rPr>
                <w:b/>
                <w:sz w:val="16"/>
              </w:rPr>
              <w:t>Autres ressources</w:t>
            </w:r>
          </w:p>
        </w:tc>
        <w:tc>
          <w:tcPr>
            <w:tcW w:w="13017" w:type="dxa"/>
            <w:gridSpan w:val="14"/>
            <w:shd w:val="clear" w:color="auto" w:fill="auto"/>
            <w:vAlign w:val="center"/>
          </w:tcPr>
          <w:p w14:paraId="7E549789" w14:textId="6E82CC30" w:rsidR="00EC0B39" w:rsidRPr="003058F5" w:rsidRDefault="008F7EBA" w:rsidP="00EC0B39">
            <w:pPr>
              <w:rPr>
                <w:rStyle w:val="Lienhypertexte"/>
                <w:color w:val="000000" w:themeColor="text1"/>
              </w:rPr>
            </w:pPr>
            <w:r>
              <w:rPr>
                <w:rStyle w:val="Lienhypertexte"/>
                <w:color w:val="000000" w:themeColor="text1"/>
                <w:sz w:val="16"/>
              </w:rPr>
              <w:t xml:space="preserve">Pour de plus amples informations, veuillez consulter le document des PRI intitulé </w:t>
            </w:r>
            <w:hyperlink r:id="rId76" w:history="1">
              <w:proofErr w:type="spellStart"/>
              <w:r>
                <w:rPr>
                  <w:rStyle w:val="Lienhypertexte"/>
                  <w:sz w:val="16"/>
                </w:rPr>
                <w:t>Technical</w:t>
              </w:r>
              <w:proofErr w:type="spellEnd"/>
              <w:r>
                <w:rPr>
                  <w:rStyle w:val="Lienhypertexte"/>
                  <w:sz w:val="16"/>
                </w:rPr>
                <w:t xml:space="preserve"> </w:t>
              </w:r>
              <w:proofErr w:type="spellStart"/>
              <w:r>
                <w:rPr>
                  <w:rStyle w:val="Lienhypertexte"/>
                  <w:sz w:val="16"/>
                </w:rPr>
                <w:t>guide:</w:t>
              </w:r>
            </w:hyperlink>
            <w:hyperlink r:id="rId77" w:history="1">
              <w:r>
                <w:rPr>
                  <w:rStyle w:val="Lienhypertexte"/>
                  <w:sz w:val="16"/>
                </w:rPr>
                <w:t>ESG</w:t>
              </w:r>
              <w:proofErr w:type="spellEnd"/>
              <w:r>
                <w:rPr>
                  <w:rStyle w:val="Lienhypertexte"/>
                  <w:sz w:val="16"/>
                </w:rPr>
                <w:t xml:space="preserve"> incorporation in </w:t>
              </w:r>
              <w:proofErr w:type="spellStart"/>
              <w:r>
                <w:rPr>
                  <w:rStyle w:val="Lienhypertexte"/>
                  <w:sz w:val="16"/>
                </w:rPr>
                <w:t>hedge</w:t>
              </w:r>
              <w:proofErr w:type="spellEnd"/>
              <w:r>
                <w:rPr>
                  <w:rStyle w:val="Lienhypertexte"/>
                  <w:sz w:val="16"/>
                </w:rPr>
                <w:t xml:space="preserve"> </w:t>
              </w:r>
              <w:proofErr w:type="spellStart"/>
              <w:r>
                <w:rPr>
                  <w:rStyle w:val="Lienhypertexte"/>
                  <w:sz w:val="16"/>
                </w:rPr>
                <w:t>funds</w:t>
              </w:r>
              <w:proofErr w:type="spellEnd"/>
              <w:r>
                <w:rPr>
                  <w:rStyle w:val="Lienhypertexte"/>
                  <w:sz w:val="16"/>
                </w:rPr>
                <w:t xml:space="preserve"> (Guide technique</w:t>
              </w:r>
              <w:r w:rsidR="00767929">
                <w:rPr>
                  <w:rStyle w:val="Lienhypertexte"/>
                  <w:sz w:val="16"/>
                </w:rPr>
                <w:t> :</w:t>
              </w:r>
              <w:r>
                <w:rPr>
                  <w:rStyle w:val="Lienhypertexte"/>
                  <w:sz w:val="16"/>
                </w:rPr>
                <w:t xml:space="preserve"> la prise en compte des critères ESG dans les fonds spéculatifs (</w:t>
              </w:r>
              <w:proofErr w:type="spellStart"/>
              <w:r>
                <w:rPr>
                  <w:rStyle w:val="Lienhypertexte"/>
                  <w:i/>
                  <w:iCs/>
                  <w:sz w:val="16"/>
                </w:rPr>
                <w:t>hedge</w:t>
              </w:r>
              <w:proofErr w:type="spellEnd"/>
              <w:r>
                <w:rPr>
                  <w:rStyle w:val="Lienhypertexte"/>
                  <w:i/>
                  <w:iCs/>
                  <w:sz w:val="16"/>
                </w:rPr>
                <w:t xml:space="preserve"> </w:t>
              </w:r>
              <w:proofErr w:type="spellStart"/>
              <w:r>
                <w:rPr>
                  <w:rStyle w:val="Lienhypertexte"/>
                  <w:i/>
                  <w:iCs/>
                  <w:sz w:val="16"/>
                </w:rPr>
                <w:t>funds</w:t>
              </w:r>
              <w:proofErr w:type="spellEnd"/>
              <w:r>
                <w:rPr>
                  <w:rStyle w:val="Lienhypertexte"/>
                  <w:sz w:val="16"/>
                </w:rPr>
                <w:t>))</w:t>
              </w:r>
            </w:hyperlink>
            <w:r>
              <w:rPr>
                <w:rStyle w:val="Lienhypertexte"/>
                <w:color w:val="auto"/>
                <w:sz w:val="16"/>
              </w:rPr>
              <w:t>,</w:t>
            </w:r>
            <w:r>
              <w:rPr>
                <w:rStyle w:val="Lienhypertexte"/>
                <w:color w:val="000000" w:themeColor="text1"/>
                <w:sz w:val="16"/>
              </w:rPr>
              <w:t xml:space="preserve"> qui fournit un cadre aux sociétés de gestion pour prendre en compte les critères ESG majeurs dans les stratégies relatives aux fonds spéculatifs.</w:t>
            </w:r>
          </w:p>
        </w:tc>
      </w:tr>
      <w:tr w:rsidR="00EC0B39" w:rsidRPr="003058F5" w14:paraId="22FE4F71" w14:textId="77777777" w:rsidTr="00F15919">
        <w:trPr>
          <w:gridAfter w:val="2"/>
          <w:wAfter w:w="24" w:type="dxa"/>
          <w:trHeight w:val="300"/>
        </w:trPr>
        <w:tc>
          <w:tcPr>
            <w:tcW w:w="14860" w:type="dxa"/>
            <w:gridSpan w:val="15"/>
            <w:shd w:val="clear" w:color="auto" w:fill="0070C0"/>
            <w:vAlign w:val="center"/>
          </w:tcPr>
          <w:p w14:paraId="2B9234BF" w14:textId="77777777" w:rsidR="00EC0B39" w:rsidRPr="003058F5" w:rsidRDefault="00EC0B39" w:rsidP="00082BCE">
            <w:pPr>
              <w:rPr>
                <w:color w:val="FFFFFF" w:themeColor="background1"/>
                <w:sz w:val="16"/>
                <w:szCs w:val="16"/>
              </w:rPr>
            </w:pPr>
            <w:r>
              <w:rPr>
                <w:b/>
                <w:color w:val="FFFFFF" w:themeColor="background1"/>
                <w:sz w:val="18"/>
              </w:rPr>
              <w:t>Logique</w:t>
            </w:r>
          </w:p>
        </w:tc>
      </w:tr>
      <w:tr w:rsidR="00610F66" w:rsidRPr="003058F5" w14:paraId="6DEEB86C" w14:textId="77777777" w:rsidTr="00F15919">
        <w:trPr>
          <w:gridAfter w:val="2"/>
          <w:wAfter w:w="24" w:type="dxa"/>
          <w:trHeight w:val="300"/>
        </w:trPr>
        <w:tc>
          <w:tcPr>
            <w:tcW w:w="1843" w:type="dxa"/>
            <w:shd w:val="clear" w:color="auto" w:fill="auto"/>
            <w:vAlign w:val="center"/>
          </w:tcPr>
          <w:p w14:paraId="113A638B" w14:textId="77777777" w:rsidR="00610F66" w:rsidRPr="003058F5" w:rsidRDefault="00610F66" w:rsidP="00610F66">
            <w:pPr>
              <w:rPr>
                <w:b/>
                <w:bCs/>
                <w:sz w:val="16"/>
                <w:szCs w:val="16"/>
              </w:rPr>
            </w:pPr>
            <w:r>
              <w:rPr>
                <w:b/>
                <w:sz w:val="16"/>
              </w:rPr>
              <w:t>Lien avec</w:t>
            </w:r>
          </w:p>
        </w:tc>
        <w:tc>
          <w:tcPr>
            <w:tcW w:w="13017" w:type="dxa"/>
            <w:gridSpan w:val="14"/>
            <w:shd w:val="clear" w:color="auto" w:fill="auto"/>
            <w:vAlign w:val="center"/>
          </w:tcPr>
          <w:p w14:paraId="08097589" w14:textId="37947A49" w:rsidR="00610F66" w:rsidRPr="003058F5" w:rsidRDefault="00740665" w:rsidP="00610F66">
            <w:pPr>
              <w:rPr>
                <w:color w:val="000000" w:themeColor="text1"/>
                <w:sz w:val="16"/>
                <w:szCs w:val="16"/>
              </w:rPr>
            </w:pPr>
            <w:r>
              <w:rPr>
                <w:color w:val="000000" w:themeColor="text1"/>
                <w:sz w:val="16"/>
              </w:rPr>
              <w:t>[OO 21]</w:t>
            </w:r>
          </w:p>
        </w:tc>
      </w:tr>
      <w:tr w:rsidR="00EC0B39" w:rsidRPr="003058F5" w14:paraId="72A4066F" w14:textId="77777777" w:rsidTr="00F15919">
        <w:trPr>
          <w:gridAfter w:val="2"/>
          <w:wAfter w:w="24" w:type="dxa"/>
          <w:trHeight w:val="300"/>
        </w:trPr>
        <w:tc>
          <w:tcPr>
            <w:tcW w:w="1843" w:type="dxa"/>
            <w:shd w:val="clear" w:color="auto" w:fill="auto"/>
            <w:vAlign w:val="center"/>
          </w:tcPr>
          <w:p w14:paraId="7A25F527" w14:textId="77777777" w:rsidR="00EC0B39" w:rsidRPr="003058F5" w:rsidRDefault="00EC0B39" w:rsidP="00082BCE">
            <w:pPr>
              <w:rPr>
                <w:b/>
                <w:bCs/>
                <w:sz w:val="16"/>
                <w:szCs w:val="16"/>
              </w:rPr>
            </w:pPr>
            <w:r>
              <w:rPr>
                <w:b/>
                <w:sz w:val="16"/>
              </w:rPr>
              <w:t>Accès à</w:t>
            </w:r>
          </w:p>
        </w:tc>
        <w:tc>
          <w:tcPr>
            <w:tcW w:w="13017" w:type="dxa"/>
            <w:gridSpan w:val="14"/>
            <w:shd w:val="clear" w:color="auto" w:fill="auto"/>
            <w:vAlign w:val="center"/>
          </w:tcPr>
          <w:p w14:paraId="1D3AC4FE" w14:textId="487C8A3D" w:rsidR="00EC0B39" w:rsidRPr="003058F5" w:rsidRDefault="003D7232" w:rsidP="00082BCE">
            <w:pPr>
              <w:rPr>
                <w:color w:val="000000" w:themeColor="text1"/>
                <w:sz w:val="16"/>
                <w:szCs w:val="16"/>
              </w:rPr>
            </w:pPr>
            <w:r>
              <w:rPr>
                <w:color w:val="000000" w:themeColor="text1"/>
                <w:sz w:val="16"/>
              </w:rPr>
              <w:t>Sans objet</w:t>
            </w:r>
          </w:p>
        </w:tc>
      </w:tr>
      <w:tr w:rsidR="00EC0B39" w:rsidRPr="003058F5" w14:paraId="6CA3E557" w14:textId="77777777" w:rsidTr="00F15919">
        <w:trPr>
          <w:gridAfter w:val="2"/>
          <w:wAfter w:w="24" w:type="dxa"/>
          <w:trHeight w:val="300"/>
        </w:trPr>
        <w:tc>
          <w:tcPr>
            <w:tcW w:w="14860" w:type="dxa"/>
            <w:gridSpan w:val="15"/>
            <w:shd w:val="clear" w:color="auto" w:fill="0070C0"/>
            <w:vAlign w:val="center"/>
          </w:tcPr>
          <w:p w14:paraId="1997B914" w14:textId="77777777" w:rsidR="00EC0B39" w:rsidRPr="003058F5" w:rsidRDefault="00EC0B39" w:rsidP="00082BCE">
            <w:pPr>
              <w:rPr>
                <w:rFonts w:eastAsia="Times New Roman" w:cs="Arial"/>
                <w:b/>
                <w:bCs/>
                <w:color w:val="FFFFFF" w:themeColor="background1"/>
                <w:sz w:val="18"/>
                <w:szCs w:val="18"/>
              </w:rPr>
            </w:pPr>
            <w:r>
              <w:rPr>
                <w:b/>
                <w:color w:val="FFFFFF" w:themeColor="background1"/>
                <w:sz w:val="18"/>
              </w:rPr>
              <w:t>Évaluation</w:t>
            </w:r>
          </w:p>
        </w:tc>
      </w:tr>
      <w:tr w:rsidR="00EC0B39" w:rsidRPr="003058F5" w14:paraId="0282EB91" w14:textId="77777777" w:rsidTr="00F15919">
        <w:trPr>
          <w:gridAfter w:val="2"/>
          <w:wAfter w:w="24" w:type="dxa"/>
          <w:trHeight w:val="354"/>
        </w:trPr>
        <w:tc>
          <w:tcPr>
            <w:tcW w:w="1843" w:type="dxa"/>
            <w:shd w:val="clear" w:color="auto" w:fill="auto"/>
            <w:vAlign w:val="center"/>
          </w:tcPr>
          <w:p w14:paraId="66A239D5" w14:textId="77777777" w:rsidR="00EC0B39" w:rsidRPr="003058F5" w:rsidRDefault="00EC0B39" w:rsidP="00082BCE">
            <w:pPr>
              <w:rPr>
                <w:b/>
                <w:sz w:val="16"/>
                <w:szCs w:val="16"/>
              </w:rPr>
            </w:pPr>
            <w:r>
              <w:rPr>
                <w:b/>
                <w:sz w:val="16"/>
              </w:rPr>
              <w:t>Critères d'évaluation</w:t>
            </w:r>
          </w:p>
        </w:tc>
        <w:tc>
          <w:tcPr>
            <w:tcW w:w="7123" w:type="dxa"/>
            <w:gridSpan w:val="7"/>
            <w:shd w:val="clear" w:color="auto" w:fill="auto"/>
            <w:vAlign w:val="center"/>
          </w:tcPr>
          <w:p w14:paraId="0373F473" w14:textId="51E2A7FF" w:rsidR="003F799E" w:rsidRPr="003058F5" w:rsidRDefault="003F799E" w:rsidP="00EC0B39">
            <w:pPr>
              <w:rPr>
                <w:rStyle w:val="Lienhypertexte"/>
                <w:color w:val="000000" w:themeColor="text1"/>
                <w:sz w:val="16"/>
                <w:szCs w:val="16"/>
              </w:rPr>
            </w:pPr>
            <w:r>
              <w:rPr>
                <w:rStyle w:val="Lienhypertexte"/>
                <w:color w:val="000000" w:themeColor="text1"/>
                <w:sz w:val="16"/>
              </w:rPr>
              <w:t>100 points pour cet indicateur.</w:t>
            </w:r>
          </w:p>
          <w:p w14:paraId="12757F8D" w14:textId="77777777" w:rsidR="003F799E" w:rsidRPr="003058F5" w:rsidRDefault="003F799E" w:rsidP="00EC0B39">
            <w:pPr>
              <w:rPr>
                <w:rStyle w:val="Lienhypertexte"/>
                <w:color w:val="000000" w:themeColor="text1"/>
                <w:sz w:val="16"/>
                <w:szCs w:val="16"/>
              </w:rPr>
            </w:pPr>
          </w:p>
          <w:p w14:paraId="7B5354A8" w14:textId="1B099DB5" w:rsidR="00FA766C" w:rsidRPr="003058F5" w:rsidRDefault="00FA766C" w:rsidP="00FA766C">
            <w:pPr>
              <w:rPr>
                <w:rStyle w:val="Lienhypertexte"/>
                <w:color w:val="000000" w:themeColor="text1"/>
                <w:sz w:val="16"/>
                <w:szCs w:val="16"/>
              </w:rPr>
            </w:pPr>
            <w:r>
              <w:rPr>
                <w:rStyle w:val="Lienhypertexte"/>
                <w:color w:val="000000" w:themeColor="text1"/>
                <w:sz w:val="16"/>
              </w:rPr>
              <w:t>100 points pour 4 réponses cochées parmi les options A à D.</w:t>
            </w:r>
          </w:p>
          <w:p w14:paraId="46E3AD30" w14:textId="5AF3F34E" w:rsidR="00FA766C" w:rsidRPr="003058F5" w:rsidRDefault="00FA766C" w:rsidP="00FA766C">
            <w:pPr>
              <w:rPr>
                <w:rStyle w:val="Lienhypertexte"/>
                <w:color w:val="000000" w:themeColor="text1"/>
                <w:sz w:val="16"/>
                <w:szCs w:val="16"/>
              </w:rPr>
            </w:pPr>
            <w:r>
              <w:rPr>
                <w:rStyle w:val="Lienhypertexte"/>
                <w:color w:val="000000" w:themeColor="text1"/>
                <w:sz w:val="16"/>
              </w:rPr>
              <w:t>75 points pour 3 réponses cochées parmi les options A à D.</w:t>
            </w:r>
          </w:p>
          <w:p w14:paraId="2777E387" w14:textId="5BC9ED46" w:rsidR="00FA766C" w:rsidRPr="003058F5" w:rsidRDefault="00FA766C" w:rsidP="00FA766C">
            <w:pPr>
              <w:rPr>
                <w:rStyle w:val="Lienhypertexte"/>
                <w:color w:val="000000" w:themeColor="text1"/>
                <w:sz w:val="16"/>
                <w:szCs w:val="16"/>
              </w:rPr>
            </w:pPr>
            <w:r>
              <w:rPr>
                <w:rStyle w:val="Lienhypertexte"/>
                <w:color w:val="000000" w:themeColor="text1"/>
                <w:sz w:val="16"/>
              </w:rPr>
              <w:t>50 points pour 2 réponses cochées parmi les options A à D.</w:t>
            </w:r>
          </w:p>
          <w:p w14:paraId="3D608AC2" w14:textId="6CA06C85" w:rsidR="00FA766C" w:rsidRPr="003058F5" w:rsidRDefault="00FA766C" w:rsidP="00FA766C">
            <w:pPr>
              <w:rPr>
                <w:rStyle w:val="Lienhypertexte"/>
                <w:color w:val="000000" w:themeColor="text1"/>
                <w:sz w:val="16"/>
                <w:szCs w:val="16"/>
              </w:rPr>
            </w:pPr>
            <w:r>
              <w:rPr>
                <w:rStyle w:val="Lienhypertexte"/>
                <w:color w:val="000000" w:themeColor="text1"/>
                <w:sz w:val="16"/>
              </w:rPr>
              <w:t>25 points pour 1 réponse cochée parmi les options A à D.</w:t>
            </w:r>
          </w:p>
          <w:p w14:paraId="1249C41D" w14:textId="61701F34" w:rsidR="003F799E" w:rsidRPr="003058F5" w:rsidRDefault="003F799E">
            <w:pPr>
              <w:rPr>
                <w:rStyle w:val="Lienhypertexte"/>
                <w:color w:val="000000" w:themeColor="text1"/>
                <w:sz w:val="16"/>
                <w:szCs w:val="16"/>
              </w:rPr>
            </w:pPr>
            <w:r>
              <w:rPr>
                <w:rStyle w:val="Lienhypertexte"/>
                <w:color w:val="000000" w:themeColor="text1"/>
                <w:sz w:val="16"/>
              </w:rPr>
              <w:t>0 point pour les options E et F.</w:t>
            </w:r>
          </w:p>
        </w:tc>
        <w:tc>
          <w:tcPr>
            <w:tcW w:w="5894" w:type="dxa"/>
            <w:gridSpan w:val="7"/>
            <w:shd w:val="clear" w:color="auto" w:fill="auto"/>
            <w:vAlign w:val="center"/>
          </w:tcPr>
          <w:p w14:paraId="7E46F11B" w14:textId="2AE03E35" w:rsidR="006C2C4B" w:rsidRPr="003058F5" w:rsidRDefault="006C2C4B" w:rsidP="006C2C4B">
            <w:pPr>
              <w:spacing w:line="240" w:lineRule="auto"/>
              <w:rPr>
                <w:rFonts w:cs="Arial"/>
                <w:color w:val="000000"/>
                <w:sz w:val="16"/>
                <w:szCs w:val="16"/>
              </w:rPr>
            </w:pPr>
            <w:r>
              <w:rPr>
                <w:color w:val="000000"/>
                <w:sz w:val="16"/>
              </w:rPr>
              <w:t>Autres informations</w:t>
            </w:r>
            <w:r w:rsidR="00767929">
              <w:rPr>
                <w:color w:val="000000"/>
                <w:sz w:val="16"/>
              </w:rPr>
              <w:t> :</w:t>
            </w:r>
          </w:p>
          <w:p w14:paraId="029C9472" w14:textId="77777777" w:rsidR="006C2C4B" w:rsidRPr="003058F5" w:rsidRDefault="006C2C4B" w:rsidP="006C2C4B">
            <w:pPr>
              <w:spacing w:line="240" w:lineRule="auto"/>
              <w:rPr>
                <w:rFonts w:cs="Arial"/>
                <w:color w:val="000000"/>
                <w:sz w:val="16"/>
                <w:szCs w:val="16"/>
              </w:rPr>
            </w:pPr>
          </w:p>
          <w:p w14:paraId="23FA0E50" w14:textId="7DF94108" w:rsidR="003F799E" w:rsidRPr="003058F5" w:rsidRDefault="00386F8F" w:rsidP="00EC0B39">
            <w:pPr>
              <w:rPr>
                <w:rFonts w:cs="Arial"/>
                <w:color w:val="000000"/>
                <w:sz w:val="16"/>
                <w:szCs w:val="16"/>
              </w:rPr>
            </w:pPr>
            <w:r>
              <w:rPr>
                <w:color w:val="000000"/>
                <w:sz w:val="16"/>
              </w:rPr>
              <w:t xml:space="preserve">Si vous sélectionnez </w:t>
            </w:r>
            <w:r w:rsidR="00FC3BD3">
              <w:rPr>
                <w:color w:val="000000"/>
                <w:sz w:val="16"/>
              </w:rPr>
              <w:t>« </w:t>
            </w:r>
            <w:r>
              <w:rPr>
                <w:color w:val="000000"/>
                <w:sz w:val="16"/>
              </w:rPr>
              <w:t>F</w:t>
            </w:r>
            <w:r w:rsidR="00FC3BD3">
              <w:rPr>
                <w:color w:val="000000"/>
                <w:sz w:val="16"/>
              </w:rPr>
              <w:t> »</w:t>
            </w:r>
            <w:r>
              <w:rPr>
                <w:color w:val="000000"/>
                <w:sz w:val="16"/>
              </w:rPr>
              <w:t>, vous obtiendrez une note de 0/100 points pour cet indicateur.</w:t>
            </w:r>
          </w:p>
          <w:p w14:paraId="28760D68" w14:textId="77777777" w:rsidR="006C2C4B" w:rsidRPr="003058F5" w:rsidRDefault="006C2C4B" w:rsidP="006C2C4B">
            <w:pPr>
              <w:rPr>
                <w:rFonts w:cs="Arial"/>
                <w:sz w:val="16"/>
                <w:szCs w:val="16"/>
              </w:rPr>
            </w:pPr>
          </w:p>
          <w:p w14:paraId="78918AB3" w14:textId="7878EFF2" w:rsidR="001D2E60" w:rsidRPr="003058F5" w:rsidRDefault="00201D64" w:rsidP="00EC0B39">
            <w:pPr>
              <w:rPr>
                <w:rStyle w:val="Lienhypertexte"/>
                <w:color w:val="000000" w:themeColor="text1"/>
              </w:rPr>
            </w:pPr>
            <w:r>
              <w:rPr>
                <w:color w:val="000000" w:themeColor="text1"/>
                <w:sz w:val="16"/>
              </w:rPr>
              <w:t>Le nombre de types de stratégies applicables n'affectera pas les points disponibles pour cet indicateur, car chaque stratégie recevra une note distincte.</w:t>
            </w:r>
          </w:p>
        </w:tc>
      </w:tr>
      <w:tr w:rsidR="00EC0B39" w:rsidRPr="003058F5" w14:paraId="40AC1B59" w14:textId="77777777" w:rsidTr="00F15919">
        <w:trPr>
          <w:gridAfter w:val="2"/>
          <w:wAfter w:w="24" w:type="dxa"/>
          <w:trHeight w:val="300"/>
        </w:trPr>
        <w:tc>
          <w:tcPr>
            <w:tcW w:w="1843" w:type="dxa"/>
            <w:shd w:val="clear" w:color="auto" w:fill="auto"/>
            <w:vAlign w:val="center"/>
          </w:tcPr>
          <w:p w14:paraId="5DCAB2D6" w14:textId="77777777" w:rsidR="00EC0B39" w:rsidRPr="003058F5" w:rsidDel="002635ED" w:rsidRDefault="00EC0B39" w:rsidP="00082BCE">
            <w:pPr>
              <w:spacing w:line="240" w:lineRule="auto"/>
              <w:rPr>
                <w:b/>
                <w:bCs/>
                <w:sz w:val="16"/>
                <w:szCs w:val="16"/>
              </w:rPr>
            </w:pPr>
            <w:r>
              <w:rPr>
                <w:b/>
                <w:sz w:val="16"/>
              </w:rPr>
              <w:t>Multiplicateur</w:t>
            </w:r>
          </w:p>
        </w:tc>
        <w:tc>
          <w:tcPr>
            <w:tcW w:w="13017" w:type="dxa"/>
            <w:gridSpan w:val="14"/>
            <w:shd w:val="clear" w:color="auto" w:fill="auto"/>
            <w:vAlign w:val="center"/>
          </w:tcPr>
          <w:p w14:paraId="443BAEC2" w14:textId="41A30FA1" w:rsidR="00EC0B39" w:rsidRPr="003058F5" w:rsidRDefault="0060497C" w:rsidP="00082BCE">
            <w:pPr>
              <w:rPr>
                <w:rStyle w:val="Lienhypertexte"/>
                <w:color w:val="000000" w:themeColor="text1"/>
              </w:rPr>
            </w:pPr>
            <w:r>
              <w:rPr>
                <w:rStyle w:val="Lienhypertexte"/>
                <w:color w:val="000000" w:themeColor="text1"/>
                <w:sz w:val="16"/>
              </w:rPr>
              <w:t xml:space="preserve">Le multiplicateur sera confirmé avant le cycle de </w:t>
            </w:r>
            <w:proofErr w:type="spellStart"/>
            <w:r>
              <w:rPr>
                <w:rStyle w:val="Lienhypertexte"/>
                <w:color w:val="000000" w:themeColor="text1"/>
                <w:sz w:val="16"/>
              </w:rPr>
              <w:t>reporting</w:t>
            </w:r>
            <w:proofErr w:type="spellEnd"/>
            <w:r>
              <w:rPr>
                <w:rStyle w:val="Lienhypertexte"/>
                <w:color w:val="000000" w:themeColor="text1"/>
                <w:sz w:val="16"/>
              </w:rPr>
              <w:t xml:space="preserve"> 2023 qui débutera à la mi-mai. </w:t>
            </w:r>
          </w:p>
        </w:tc>
      </w:tr>
    </w:tbl>
    <w:p w14:paraId="170B9342" w14:textId="5504AF7D" w:rsidR="00DF39DB" w:rsidRPr="00EC183E" w:rsidRDefault="00DF39DB" w:rsidP="00EC183E">
      <w:pPr>
        <w:rPr>
          <w:rFonts w:eastAsiaTheme="majorEastAsia" w:cstheme="majorBidi"/>
          <w:caps/>
          <w:color w:val="2F5496" w:themeColor="accent1" w:themeShade="BF"/>
          <w:sz w:val="22"/>
          <w:szCs w:val="22"/>
        </w:rPr>
      </w:pPr>
    </w:p>
    <w:sectPr w:rsidR="00DF39DB" w:rsidRPr="00EC183E" w:rsidSect="005144BD">
      <w:footerReference w:type="default" r:id="rId78"/>
      <w:headerReference w:type="first" r:id="rId79"/>
      <w:footerReference w:type="first" r:id="rId80"/>
      <w:pgSz w:w="16838" w:h="11906" w:orient="landscape"/>
      <w:pgMar w:top="1440" w:right="998" w:bottom="1440"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65F52F" w14:textId="77777777" w:rsidR="0092226B" w:rsidRDefault="0092226B" w:rsidP="00A27FF8">
      <w:pPr>
        <w:spacing w:line="240" w:lineRule="auto"/>
      </w:pPr>
      <w:r>
        <w:separator/>
      </w:r>
    </w:p>
  </w:endnote>
  <w:endnote w:type="continuationSeparator" w:id="0">
    <w:p w14:paraId="626AED2C" w14:textId="77777777" w:rsidR="0092226B" w:rsidRDefault="0092226B" w:rsidP="00A27FF8">
      <w:pPr>
        <w:spacing w:line="240" w:lineRule="auto"/>
      </w:pPr>
      <w:r>
        <w:continuationSeparator/>
      </w:r>
    </w:p>
  </w:endnote>
  <w:endnote w:type="continuationNotice" w:id="1">
    <w:p w14:paraId="5FCCBCDB" w14:textId="77777777" w:rsidR="0092226B" w:rsidRDefault="0092226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Times">
    <w:panose1 w:val="02020603050405020304"/>
    <w:charset w:val="00"/>
    <w:family w:val="roman"/>
    <w:pitch w:val="variable"/>
    <w:sig w:usb0="E0002EFF" w:usb1="C000785B" w:usb2="00000009" w:usb3="00000000" w:csb0="000001FF" w:csb1="00000000"/>
  </w:font>
  <w:font w:name="Alright Sans Regular">
    <w:altName w:val="Arial"/>
    <w:panose1 w:val="00000000000000000000"/>
    <w:charset w:val="00"/>
    <w:family w:val="modern"/>
    <w:notTrueType/>
    <w:pitch w:val="variable"/>
    <w:sig w:usb0="0000008F" w:usb1="00000001" w:usb2="00000000" w:usb3="00000000" w:csb0="0000000B" w:csb1="00000000"/>
  </w:font>
  <w:font w:name="Alright Sans Light">
    <w:altName w:val="Calibri"/>
    <w:panose1 w:val="00000000000000000000"/>
    <w:charset w:val="00"/>
    <w:family w:val="modern"/>
    <w:notTrueType/>
    <w:pitch w:val="variable"/>
    <w:sig w:usb0="0000008F" w:usb1="00000001" w:usb2="00000000" w:usb3="00000000" w:csb0="0000000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5DE77" w14:textId="7362C7A9" w:rsidR="00DF57FE" w:rsidRPr="0098553C" w:rsidRDefault="00DF57FE" w:rsidP="00A27FF8">
    <w:pPr>
      <w:pStyle w:val="Pieddepage"/>
      <w:framePr w:w="11854" w:wrap="around" w:vAnchor="text" w:hAnchor="page" w:x="16" w:y="391"/>
      <w:jc w:val="center"/>
      <w:rPr>
        <w:rStyle w:val="Numrodepage"/>
        <w:rFonts w:ascii="Alright Sans Light" w:hAnsi="Alright Sans Light"/>
        <w:color w:val="808080"/>
      </w:rPr>
    </w:pPr>
    <w:r w:rsidRPr="0098553C">
      <w:rPr>
        <w:rStyle w:val="Numrodepage"/>
        <w:rFonts w:ascii="Alright Sans Light" w:hAnsi="Alright Sans Light"/>
        <w:color w:val="808080"/>
      </w:rPr>
      <w:fldChar w:fldCharType="begin"/>
    </w:r>
    <w:r w:rsidRPr="0098553C">
      <w:rPr>
        <w:rStyle w:val="Numrodepage"/>
        <w:rFonts w:ascii="Alright Sans Light" w:hAnsi="Alright Sans Light"/>
        <w:color w:val="808080"/>
      </w:rPr>
      <w:instrText xml:space="preserve">PAGE  </w:instrText>
    </w:r>
    <w:r w:rsidRPr="0098553C">
      <w:rPr>
        <w:rStyle w:val="Numrodepage"/>
        <w:rFonts w:ascii="Alright Sans Light" w:hAnsi="Alright Sans Light"/>
        <w:color w:val="808080"/>
      </w:rPr>
      <w:fldChar w:fldCharType="separate"/>
    </w:r>
    <w:r>
      <w:rPr>
        <w:rStyle w:val="Numrodepage"/>
        <w:rFonts w:ascii="Alright Sans Light" w:hAnsi="Alright Sans Light"/>
        <w:color w:val="808080"/>
      </w:rPr>
      <w:t>50</w:t>
    </w:r>
    <w:r w:rsidRPr="0098553C">
      <w:rPr>
        <w:rStyle w:val="Numrodepage"/>
        <w:rFonts w:ascii="Alright Sans Light" w:hAnsi="Alright Sans Light"/>
        <w:color w:val="808080"/>
      </w:rPr>
      <w:fldChar w:fldCharType="end"/>
    </w:r>
  </w:p>
  <w:p w14:paraId="44A43680" w14:textId="63AC175A" w:rsidR="00DF57FE" w:rsidRDefault="00DF57FE">
    <w:pPr>
      <w:pStyle w:val="Pieddepage"/>
    </w:pPr>
    <w:r>
      <w:rPr>
        <w:noProof/>
      </w:rPr>
      <mc:AlternateContent>
        <mc:Choice Requires="wps">
          <w:drawing>
            <wp:anchor distT="45720" distB="45720" distL="114300" distR="114300" simplePos="0" relativeHeight="251658249" behindDoc="0" locked="0" layoutInCell="1" allowOverlap="1" wp14:anchorId="5C08D63F" wp14:editId="3F718C96">
              <wp:simplePos x="0" y="0"/>
              <wp:positionH relativeFrom="margin">
                <wp:align>right</wp:align>
              </wp:positionH>
              <wp:positionV relativeFrom="paragraph">
                <wp:posOffset>160020</wp:posOffset>
              </wp:positionV>
              <wp:extent cx="400050" cy="280670"/>
              <wp:effectExtent l="0" t="0" r="0" b="508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80670"/>
                      </a:xfrm>
                      <a:prstGeom prst="rect">
                        <a:avLst/>
                      </a:prstGeom>
                      <a:noFill/>
                      <a:ln w="9525">
                        <a:noFill/>
                        <a:miter lim="800000"/>
                        <a:headEnd/>
                        <a:tailEnd/>
                      </a:ln>
                    </wps:spPr>
                    <wps:txbx>
                      <w:txbxContent>
                        <w:p w14:paraId="17C05691" w14:textId="7507B4CA" w:rsidR="00DF57FE" w:rsidRPr="000F3CF4" w:rsidRDefault="00DF57FE" w:rsidP="00794C3D">
                          <w:pPr>
                            <w:jc w:val="right"/>
                            <w:rPr>
                              <w:color w:val="FFFFFF" w:themeColor="background1"/>
                            </w:rPr>
                          </w:pPr>
                          <w:r w:rsidRPr="00794C3D">
                            <w:rPr>
                              <w:color w:val="FFFFFF" w:themeColor="background1"/>
                            </w:rPr>
                            <w:fldChar w:fldCharType="begin"/>
                          </w:r>
                          <w:r w:rsidRPr="00794C3D">
                            <w:rPr>
                              <w:color w:val="FFFFFF" w:themeColor="background1"/>
                            </w:rPr>
                            <w:instrText xml:space="preserve"> PAGE   \* MERGEFORMAT </w:instrText>
                          </w:r>
                          <w:r w:rsidRPr="00794C3D">
                            <w:rPr>
                              <w:color w:val="FFFFFF" w:themeColor="background1"/>
                            </w:rPr>
                            <w:fldChar w:fldCharType="separate"/>
                          </w:r>
                          <w:r>
                            <w:rPr>
                              <w:color w:val="FFFFFF" w:themeColor="background1"/>
                            </w:rPr>
                            <w:t>50</w:t>
                          </w:r>
                          <w:r w:rsidRPr="00794C3D">
                            <w:rPr>
                              <w:color w:val="FFFFFF" w:themeColor="background1"/>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C08D63F" id="_x0000_t202" coordsize="21600,21600" o:spt="202" path="m,l,21600r21600,l21600,xe">
              <v:stroke joinstyle="miter"/>
              <v:path gradientshapeok="t" o:connecttype="rect"/>
            </v:shapetype>
            <v:shape id="_x0000_s1031" type="#_x0000_t202" style="position:absolute;margin-left:-19.7pt;margin-top:12.6pt;width:31.5pt;height:22.1pt;z-index:251658249;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" filled="f" stroked="f">
              <v:textbox>
                <w:txbxContent>
                  <w:p w14:paraId="17C05691" w14:textId="7507B4CA" w:rsidR="00DF57FE" w:rsidRPr="000F3CF4" w:rsidRDefault="00DF57FE" w:rsidP="00794C3D">
                    <w:pPr>
                      <w:jc w:val="right"/>
                      <w:rPr>
                        <w:color w:val="FFFFFF" w:themeColor="background1"/>
                      </w:rPr>
                    </w:pPr>
                    <w:r w:rsidRPr="00794C3D">
                      <w:rPr>
                        <w:color w:val="FFFFFF" w:themeColor="background1"/>
                      </w:rPr>
                      <w:fldChar w:fldCharType="begin"/>
                    </w:r>
                    <w:r w:rsidRPr="00794C3D">
                      <w:rPr>
                        <w:color w:val="FFFFFF" w:themeColor="background1"/>
                      </w:rPr>
                      <w:instrText xml:space="preserve"> PAGE   \* MERGEFORMAT </w:instrText>
                    </w:r>
                    <w:r w:rsidRPr="00794C3D">
                      <w:rPr>
                        <w:color w:val="FFFFFF" w:themeColor="background1"/>
                      </w:rPr>
                      <w:fldChar w:fldCharType="separate"/>
                    </w:r>
                    <w:r>
                      <w:rPr>
                        <w:color w:val="FFFFFF" w:themeColor="background1"/>
                      </w:rPr>
                      <w:t>50</w:t>
                    </w:r>
                    <w:r w:rsidRPr="00794C3D">
                      <w:rPr>
                        <w:color w:val="FFFFFF" w:themeColor="background1"/>
                      </w:rPr>
                      <w:fldChar w:fldCharType="end"/>
                    </w:r>
                  </w:p>
                </w:txbxContent>
              </v:textbox>
              <w10:wrap type="square" anchorx="margin"/>
            </v:shape>
          </w:pict>
        </mc:Fallback>
      </mc:AlternateContent>
    </w:r>
    <w:r>
      <w:rPr>
        <w:noProof/>
      </w:rPr>
      <mc:AlternateContent>
        <mc:Choice Requires="wps">
          <w:drawing>
            <wp:anchor distT="45720" distB="45720" distL="114300" distR="114300" simplePos="0" relativeHeight="251658246" behindDoc="0" locked="0" layoutInCell="1" allowOverlap="1" wp14:anchorId="0789A107" wp14:editId="4DCCDF5D">
              <wp:simplePos x="0" y="0"/>
              <wp:positionH relativeFrom="column">
                <wp:posOffset>5132070</wp:posOffset>
              </wp:positionH>
              <wp:positionV relativeFrom="paragraph">
                <wp:posOffset>150495</wp:posOffset>
              </wp:positionV>
              <wp:extent cx="1781175" cy="280670"/>
              <wp:effectExtent l="0" t="0" r="0" b="508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80670"/>
                      </a:xfrm>
                      <a:prstGeom prst="rect">
                        <a:avLst/>
                      </a:prstGeom>
                      <a:noFill/>
                      <a:ln w="9525">
                        <a:noFill/>
                        <a:miter lim="800000"/>
                        <a:headEnd/>
                        <a:tailEnd/>
                      </a:ln>
                    </wps:spPr>
                    <wps:txbx>
                      <w:txbxContent>
                        <w:p w14:paraId="64D6E6FF" w14:textId="1E87AABF" w:rsidR="00DF57FE" w:rsidRPr="000F3CF4" w:rsidRDefault="00420E81" w:rsidP="000F3CF4">
                          <w:pPr>
                            <w:jc w:val="right"/>
                            <w:rPr>
                              <w:color w:val="FFFFFF" w:themeColor="background1"/>
                            </w:rPr>
                          </w:pPr>
                          <w:hyperlink r:id="rId1" w:history="1">
                            <w:r w:rsidR="00937FB7">
                              <w:rPr>
                                <w:rStyle w:val="Lienhypertexte"/>
                                <w:color w:val="FFFFFF" w:themeColor="background1"/>
                              </w:rPr>
                              <w:t>reporting@unpri.org</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89A107" id="_x0000_s1032" type="#_x0000_t202" style="position:absolute;margin-left:404.1pt;margin-top:11.85pt;width:140.25pt;height:22.1pt;z-index:25165824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" filled="f" stroked="f">
              <v:textbox>
                <w:txbxContent>
                  <w:p w14:paraId="64D6E6FF" w14:textId="1E87AABF" w:rsidR="00DF57FE" w:rsidRPr="000F3CF4" w:rsidRDefault="00420E81" w:rsidP="000F3CF4">
                    <w:pPr>
                      <w:jc w:val="right"/>
                      <w:rPr>
                        <w:color w:val="FFFFFF" w:themeColor="background1"/>
                      </w:rPr>
                    </w:pPr>
                    <w:hyperlink r:id="rId2" w:history="1">
                      <w:r w:rsidR="00937FB7">
                        <w:rPr>
                          <w:rStyle w:val="Lienhypertexte"/>
                          <w:color w:val="FFFFFF" w:themeColor="background1"/>
                        </w:rPr>
                        <w:t>reporting@unpri.org</w:t>
                      </w:r>
                    </w:hyperlink>
                  </w:p>
                </w:txbxContent>
              </v:textbox>
              <w10:wrap type="square"/>
            </v:shape>
          </w:pict>
        </mc:Fallback>
      </mc:AlternateContent>
    </w:r>
    <w:r>
      <w:rPr>
        <w:noProof/>
      </w:rPr>
      <mc:AlternateContent>
        <mc:Choice Requires="wps">
          <w:drawing>
            <wp:anchor distT="0" distB="0" distL="114300" distR="114300" simplePos="0" relativeHeight="251658248" behindDoc="0" locked="0" layoutInCell="1" allowOverlap="1" wp14:anchorId="30468904" wp14:editId="2CA28821">
              <wp:simplePos x="0" y="0"/>
              <wp:positionH relativeFrom="column">
                <wp:posOffset>1264920</wp:posOffset>
              </wp:positionH>
              <wp:positionV relativeFrom="paragraph">
                <wp:posOffset>179070</wp:posOffset>
              </wp:positionV>
              <wp:extent cx="2514600" cy="242570"/>
              <wp:effectExtent l="0" t="0" r="0" b="5080"/>
              <wp:wrapNone/>
              <wp:docPr id="14" name="Text Box 14"/>
              <wp:cNvGraphicFramePr/>
              <a:graphic xmlns:a="http://schemas.openxmlformats.org/drawingml/2006/main">
                <a:graphicData uri="http://schemas.microsoft.com/office/word/2010/wordprocessingShape">
                  <wps:wsp>
                    <wps:cNvSpPr txBox="1"/>
                    <wps:spPr>
                      <a:xfrm>
                        <a:off x="0" y="0"/>
                        <a:ext cx="2514600" cy="242570"/>
                      </a:xfrm>
                      <a:prstGeom prst="rect">
                        <a:avLst/>
                      </a:prstGeom>
                      <a:noFill/>
                      <a:ln w="6350">
                        <a:noFill/>
                      </a:ln>
                    </wps:spPr>
                    <wps:txbx>
                      <w:txbxContent>
                        <w:p w14:paraId="2600DEC0" w14:textId="279B7054" w:rsidR="00DF57FE" w:rsidRPr="00794C3D" w:rsidRDefault="00DF57FE">
                          <w:pPr>
                            <w:rPr>
                              <w:color w:val="FFFFFF" w:themeColor="background1"/>
                              <w:sz w:val="14"/>
                              <w:szCs w:val="14"/>
                            </w:rPr>
                          </w:pPr>
                          <w:r>
                            <w:rPr>
                              <w:color w:val="FFFFFF" w:themeColor="background1"/>
                              <w:sz w:val="14"/>
                            </w:rPr>
                            <w:t>Copyright © 2022 PRI Association Tous droits réservés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468904" id="Text Box 14" o:spid="_x0000_s1033" type="#_x0000_t202" style="position:absolute;margin-left:99.6pt;margin-top:14.1pt;width:198pt;height:19.1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" filled="f" stroked="f" strokeweight=".5pt">
              <v:textbox>
                <w:txbxContent>
                  <w:p w14:paraId="2600DEC0" w14:textId="279B7054" w:rsidR="00DF57FE" w:rsidRPr="00794C3D" w:rsidRDefault="00DF57FE">
                    <w:pPr>
                      <w:rPr>
                        <w:color w:val="FFFFFF" w:themeColor="background1"/>
                        <w:sz w:val="14"/>
                        <w:szCs w:val="14"/>
                      </w:rPr>
                    </w:pPr>
                    <w:r>
                      <w:rPr>
                        <w:color w:val="FFFFFF" w:themeColor="background1"/>
                        <w:sz w:val="14"/>
                      </w:rPr>
                      <w:t>Copyright © 2022 PRI Association Tous droits réservés</w:t>
                    </w:r>
                  </w:p>
                </w:txbxContent>
              </v:textbox>
            </v:shape>
          </w:pict>
        </mc:Fallback>
      </mc:AlternateContent>
    </w:r>
    <w:r>
      <w:rPr>
        <w:noProof/>
      </w:rPr>
      <mc:AlternateContent>
        <mc:Choice Requires="wps">
          <w:drawing>
            <wp:anchor distT="0" distB="0" distL="114300" distR="114300" simplePos="0" relativeHeight="251658245" behindDoc="0" locked="0" layoutInCell="1" allowOverlap="1" wp14:anchorId="05849E73" wp14:editId="75896E4D">
              <wp:simplePos x="0" y="0"/>
              <wp:positionH relativeFrom="page">
                <wp:posOffset>-55245</wp:posOffset>
              </wp:positionH>
              <wp:positionV relativeFrom="paragraph">
                <wp:posOffset>-69166</wp:posOffset>
              </wp:positionV>
              <wp:extent cx="10753725" cy="657225"/>
              <wp:effectExtent l="0" t="0" r="9525" b="9525"/>
              <wp:wrapNone/>
              <wp:docPr id="10" name="Rectangle 10"/>
              <wp:cNvGraphicFramePr/>
              <a:graphic xmlns:a="http://schemas.openxmlformats.org/drawingml/2006/main">
                <a:graphicData uri="http://schemas.microsoft.com/office/word/2010/wordprocessingShape">
                  <wps:wsp>
                    <wps:cNvSpPr/>
                    <wps:spPr>
                      <a:xfrm>
                        <a:off x="0" y="0"/>
                        <a:ext cx="10753725" cy="657225"/>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B769550" w14:textId="77777777" w:rsidR="00DF57FE" w:rsidRDefault="00DF57FE" w:rsidP="00621DC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5849E73" id="Rectangle 10" o:spid="_x0000_s1034" style="position:absolute;margin-left:-4.35pt;margin-top:-5.45pt;width:846.75pt;height:51.75pt;z-index:251658245;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" fillcolor="#0070c0" stroked="f" strokeweight="1pt">
              <v:textbox>
                <w:txbxContent>
                  <w:p w14:paraId="6B769550" w14:textId="77777777" w:rsidR="00DF57FE" w:rsidRDefault="00DF57FE" w:rsidP="00621DCE">
                    <w:pPr>
                      <w:jc w:val="center"/>
                    </w:pPr>
                  </w:p>
                </w:txbxContent>
              </v:textbox>
              <w10:wrap anchorx="page"/>
            </v:rect>
          </w:pict>
        </mc:Fallback>
      </mc:AlternateContent>
    </w:r>
    <w:r>
      <w:rPr>
        <w:noProof/>
      </w:rPr>
      <w:drawing>
        <wp:anchor distT="0" distB="0" distL="114300" distR="114300" simplePos="0" relativeHeight="251658247" behindDoc="0" locked="0" layoutInCell="1" allowOverlap="1" wp14:anchorId="2144A5CC" wp14:editId="2E5348CB">
          <wp:simplePos x="0" y="0"/>
          <wp:positionH relativeFrom="margin">
            <wp:posOffset>-64770</wp:posOffset>
          </wp:positionH>
          <wp:positionV relativeFrom="paragraph">
            <wp:posOffset>142875</wp:posOffset>
          </wp:positionV>
          <wp:extent cx="1152525" cy="250190"/>
          <wp:effectExtent l="0" t="0" r="9525" b="0"/>
          <wp:wrapNone/>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52525" cy="25019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1BE47" w14:textId="45892385" w:rsidR="00DF57FE" w:rsidRDefault="00DF57FE">
    <w:pPr>
      <w:pStyle w:val="Pieddepage"/>
    </w:pPr>
    <w:r>
      <w:rPr>
        <w:noProof/>
      </w:rPr>
      <w:drawing>
        <wp:anchor distT="0" distB="0" distL="114300" distR="114300" simplePos="0" relativeHeight="251658244" behindDoc="0" locked="0" layoutInCell="1" allowOverlap="1" wp14:anchorId="1737016D" wp14:editId="76BA39BA">
          <wp:simplePos x="0" y="0"/>
          <wp:positionH relativeFrom="margin">
            <wp:posOffset>-57150</wp:posOffset>
          </wp:positionH>
          <wp:positionV relativeFrom="paragraph">
            <wp:posOffset>128905</wp:posOffset>
          </wp:positionV>
          <wp:extent cx="1152525" cy="250263"/>
          <wp:effectExtent l="0" t="0" r="0" b="0"/>
          <wp:wrapNone/>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2525" cy="25026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58243" behindDoc="0" locked="0" layoutInCell="1" allowOverlap="1" wp14:anchorId="7B18AA66" wp14:editId="63EF2F0D">
              <wp:simplePos x="0" y="0"/>
              <wp:positionH relativeFrom="column">
                <wp:posOffset>5579745</wp:posOffset>
              </wp:positionH>
              <wp:positionV relativeFrom="paragraph">
                <wp:posOffset>112395</wp:posOffset>
              </wp:positionV>
              <wp:extent cx="3220720" cy="280670"/>
              <wp:effectExtent l="0" t="0" r="0" b="508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0720" cy="280670"/>
                      </a:xfrm>
                      <a:prstGeom prst="rect">
                        <a:avLst/>
                      </a:prstGeom>
                      <a:noFill/>
                      <a:ln w="9525">
                        <a:noFill/>
                        <a:miter lim="800000"/>
                        <a:headEnd/>
                        <a:tailEnd/>
                      </a:ln>
                    </wps:spPr>
                    <wps:txbx>
                      <w:txbxContent>
                        <w:p w14:paraId="7937A2A2" w14:textId="68BA7019" w:rsidR="00DF57FE" w:rsidRPr="000F3CF4" w:rsidRDefault="00420E81" w:rsidP="000F3CF4">
                          <w:pPr>
                            <w:jc w:val="right"/>
                            <w:rPr>
                              <w:color w:val="FFFFFF" w:themeColor="background1"/>
                            </w:rPr>
                          </w:pPr>
                          <w:hyperlink r:id="rId2" w:history="1">
                            <w:r w:rsidR="00937FB7">
                              <w:rPr>
                                <w:rStyle w:val="Lienhypertexte"/>
                                <w:color w:val="FFFFFF" w:themeColor="background1"/>
                              </w:rPr>
                              <w:t>reporting@unpri.org</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B18AA66" id="_x0000_t202" coordsize="21600,21600" o:spt="202" path="m,l,21600r21600,l21600,xe">
              <v:stroke joinstyle="miter"/>
              <v:path gradientshapeok="t" o:connecttype="rect"/>
            </v:shapetype>
            <v:shape id="_x0000_s1035" type="#_x0000_t202" style="position:absolute;margin-left:439.35pt;margin-top:8.85pt;width:253.6pt;height:22.1pt;z-index:25165824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" filled="f" stroked="f">
              <v:textbox>
                <w:txbxContent>
                  <w:p w14:paraId="7937A2A2" w14:textId="68BA7019" w:rsidR="00DF57FE" w:rsidRPr="000F3CF4" w:rsidRDefault="00420E81" w:rsidP="000F3CF4">
                    <w:pPr>
                      <w:jc w:val="right"/>
                      <w:rPr>
                        <w:color w:val="FFFFFF" w:themeColor="background1"/>
                      </w:rPr>
                    </w:pPr>
                    <w:hyperlink r:id="rId3" w:history="1">
                      <w:r w:rsidR="00937FB7">
                        <w:rPr>
                          <w:rStyle w:val="Lienhypertexte"/>
                          <w:color w:val="FFFFFF" w:themeColor="background1"/>
                        </w:rPr>
                        <w:t>reporting@unpri.org</w:t>
                      </w:r>
                    </w:hyperlink>
                  </w:p>
                </w:txbxContent>
              </v:textbox>
              <w10:wrap type="square"/>
            </v:shape>
          </w:pict>
        </mc:Fallback>
      </mc:AlternateContent>
    </w:r>
    <w:r>
      <w:rPr>
        <w:noProof/>
      </w:rPr>
      <mc:AlternateContent>
        <mc:Choice Requires="wps">
          <w:drawing>
            <wp:anchor distT="0" distB="0" distL="114300" distR="114300" simplePos="0" relativeHeight="251658242" behindDoc="0" locked="0" layoutInCell="1" allowOverlap="1" wp14:anchorId="66AF83C7" wp14:editId="47A1CC26">
              <wp:simplePos x="0" y="0"/>
              <wp:positionH relativeFrom="page">
                <wp:posOffset>-28576</wp:posOffset>
              </wp:positionH>
              <wp:positionV relativeFrom="paragraph">
                <wp:posOffset>-78105</wp:posOffset>
              </wp:positionV>
              <wp:extent cx="10753725" cy="657225"/>
              <wp:effectExtent l="0" t="0" r="9525" b="9525"/>
              <wp:wrapNone/>
              <wp:docPr id="1" name="Rectangle 1"/>
              <wp:cNvGraphicFramePr/>
              <a:graphic xmlns:a="http://schemas.openxmlformats.org/drawingml/2006/main">
                <a:graphicData uri="http://schemas.microsoft.com/office/word/2010/wordprocessingShape">
                  <wps:wsp>
                    <wps:cNvSpPr/>
                    <wps:spPr>
                      <a:xfrm>
                        <a:off x="0" y="0"/>
                        <a:ext cx="10753725" cy="657225"/>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14="http://schemas.microsoft.com/office/drawing/2010/main" xmlns:pic="http://schemas.openxmlformats.org/drawingml/2006/picture" xmlns:a="http://schemas.openxmlformats.org/drawingml/2006/main">
          <w:pict w14:anchorId="04C8522A">
            <v:rect id="Rectangle 1" style="position:absolute;margin-left:-2.25pt;margin-top:-6.15pt;width:846.75pt;height:51.75pt;z-index:251658242;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spid="_x0000_s1026" fillcolor="#0070c0" stroked="f" strokeweight="1pt" w14:anchorId="01B6AD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">
              <w10:wrap anchorx="page"/>
            </v:rect>
          </w:pict>
        </mc:Fallback>
      </mc:AlternateContent>
    </w:r>
    <w:r>
      <w:rPr>
        <w:noProof/>
      </w:rPr>
      <w:drawing>
        <wp:anchor distT="0" distB="0" distL="114300" distR="114300" simplePos="0" relativeHeight="251658240" behindDoc="0" locked="0" layoutInCell="1" allowOverlap="1" wp14:anchorId="2A34F176" wp14:editId="4C1FF676">
          <wp:simplePos x="0" y="0"/>
          <wp:positionH relativeFrom="page">
            <wp:posOffset>8255</wp:posOffset>
          </wp:positionH>
          <wp:positionV relativeFrom="page">
            <wp:posOffset>9783445</wp:posOffset>
          </wp:positionV>
          <wp:extent cx="2919095" cy="881380"/>
          <wp:effectExtent l="0" t="0" r="0" b="0"/>
          <wp:wrapNone/>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 2014 -Address.jpg"/>
                  <pic:cNvPicPr/>
                </pic:nvPicPr>
                <pic:blipFill>
                  <a:blip r:embed="rId4">
                    <a:extLst>
                      <a:ext uri="{28A0092B-C50C-407E-A947-70E740481C1C}">
                        <a14:useLocalDpi xmlns:a14="http://schemas.microsoft.com/office/drawing/2010/main" val="0"/>
                      </a:ext>
                    </a:extLst>
                  </a:blip>
                  <a:stretch>
                    <a:fillRect/>
                  </a:stretch>
                </pic:blipFill>
                <pic:spPr>
                  <a:xfrm>
                    <a:off x="0" y="0"/>
                    <a:ext cx="2919095" cy="88138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1" behindDoc="0" locked="0" layoutInCell="1" allowOverlap="1" wp14:anchorId="013EE85C" wp14:editId="6564BC94">
          <wp:simplePos x="0" y="0"/>
          <wp:positionH relativeFrom="page">
            <wp:posOffset>3590265</wp:posOffset>
          </wp:positionH>
          <wp:positionV relativeFrom="page">
            <wp:posOffset>9648825</wp:posOffset>
          </wp:positionV>
          <wp:extent cx="3972833" cy="881999"/>
          <wp:effectExtent l="0" t="0" r="0" b="0"/>
          <wp:wrapNone/>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oter 2014 -Partnership.jpg"/>
                  <pic:cNvPicPr/>
                </pic:nvPicPr>
                <pic:blipFill>
                  <a:blip r:embed="rId5">
                    <a:extLst>
                      <a:ext uri="{28A0092B-C50C-407E-A947-70E740481C1C}">
                        <a14:useLocalDpi xmlns:a14="http://schemas.microsoft.com/office/drawing/2010/main" val="0"/>
                      </a:ext>
                    </a:extLst>
                  </a:blip>
                  <a:stretch>
                    <a:fillRect/>
                  </a:stretch>
                </pic:blipFill>
                <pic:spPr>
                  <a:xfrm>
                    <a:off x="0" y="0"/>
                    <a:ext cx="3972833" cy="881999"/>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75693" w14:textId="77777777" w:rsidR="0092226B" w:rsidRDefault="0092226B" w:rsidP="00A27FF8">
      <w:pPr>
        <w:spacing w:line="240" w:lineRule="auto"/>
      </w:pPr>
      <w:r>
        <w:separator/>
      </w:r>
    </w:p>
  </w:footnote>
  <w:footnote w:type="continuationSeparator" w:id="0">
    <w:p w14:paraId="40393298" w14:textId="77777777" w:rsidR="0092226B" w:rsidRDefault="0092226B" w:rsidP="00A27FF8">
      <w:pPr>
        <w:spacing w:line="240" w:lineRule="auto"/>
      </w:pPr>
      <w:r>
        <w:continuationSeparator/>
      </w:r>
    </w:p>
  </w:footnote>
  <w:footnote w:type="continuationNotice" w:id="1">
    <w:p w14:paraId="364E4966" w14:textId="77777777" w:rsidR="0092226B" w:rsidRDefault="0092226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EF59F" w14:textId="77777777" w:rsidR="00DF57FE" w:rsidRDefault="00DF57FE">
    <w:pPr>
      <w:pStyle w:val="En-tte"/>
    </w:pPr>
    <w:r>
      <w:rPr>
        <w:noProof/>
      </w:rPr>
      <w:drawing>
        <wp:anchor distT="0" distB="0" distL="114300" distR="114300" simplePos="0" relativeHeight="251662346" behindDoc="1" locked="0" layoutInCell="1" allowOverlap="1" wp14:anchorId="19A30BE5" wp14:editId="7144422E">
          <wp:simplePos x="0" y="0"/>
          <wp:positionH relativeFrom="page">
            <wp:posOffset>714375</wp:posOffset>
          </wp:positionH>
          <wp:positionV relativeFrom="topMargin">
            <wp:align>bottom</wp:align>
          </wp:positionV>
          <wp:extent cx="2152650" cy="467628"/>
          <wp:effectExtent l="0" t="0" r="0" b="8890"/>
          <wp:wrapNone/>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extLst>
                      <a:ext uri="{28A0092B-C50C-407E-A947-70E740481C1C}">
                        <a14:useLocalDpi xmlns:a14="http://schemas.microsoft.com/office/drawing/2010/main" val="0"/>
                      </a:ext>
                    </a:extLst>
                  </a:blip>
                  <a:srcRect t="51798" r="59961"/>
                  <a:stretch/>
                </pic:blipFill>
                <pic:spPr bwMode="auto">
                  <a:xfrm>
                    <a:off x="0" y="0"/>
                    <a:ext cx="2152650" cy="467628"/>
                  </a:xfrm>
                  <a:prstGeom prst="rect">
                    <a:avLst/>
                  </a:prstGeom>
                  <a:noFill/>
                  <a:ln>
                    <a:noFill/>
                  </a:ln>
                  <a:extLst>
                    <a:ext uri="{53640926-AAD7-44d8-BBD7-CCE9431645EC}">
                      <a14:shadowObscured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D48A30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164785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1A8F0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0063EC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1529B7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C900D1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3"/>
    <w:multiLevelType w:val="singleLevel"/>
    <w:tmpl w:val="289C3712"/>
    <w:lvl w:ilvl="0">
      <w:start w:val="1"/>
      <w:numFmt w:val="bullet"/>
      <w:pStyle w:val="Listepuces2"/>
      <w:lvlText w:val=""/>
      <w:lvlJc w:val="left"/>
      <w:pPr>
        <w:tabs>
          <w:tab w:val="num" w:pos="2191"/>
        </w:tabs>
        <w:ind w:left="2191" w:hanging="360"/>
      </w:pPr>
      <w:rPr>
        <w:rFonts w:ascii="Symbol" w:hAnsi="Symbol" w:hint="default"/>
      </w:rPr>
    </w:lvl>
  </w:abstractNum>
  <w:abstractNum w:abstractNumId="7" w15:restartNumberingAfterBreak="0">
    <w:nsid w:val="FFFFFF88"/>
    <w:multiLevelType w:val="singleLevel"/>
    <w:tmpl w:val="D896A392"/>
    <w:lvl w:ilvl="0">
      <w:start w:val="1"/>
      <w:numFmt w:val="decimal"/>
      <w:lvlText w:val="%1."/>
      <w:lvlJc w:val="left"/>
      <w:pPr>
        <w:tabs>
          <w:tab w:val="num" w:pos="360"/>
        </w:tabs>
        <w:ind w:left="360" w:hanging="360"/>
      </w:pPr>
    </w:lvl>
  </w:abstractNum>
  <w:abstractNum w:abstractNumId="8" w15:restartNumberingAfterBreak="0">
    <w:nsid w:val="038546AB"/>
    <w:multiLevelType w:val="hybridMultilevel"/>
    <w:tmpl w:val="A6CA1BCA"/>
    <w:lvl w:ilvl="0" w:tplc="728AA2B4">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05D74290"/>
    <w:multiLevelType w:val="hybridMultilevel"/>
    <w:tmpl w:val="926CA1C4"/>
    <w:lvl w:ilvl="0" w:tplc="A7F4A6E6">
      <w:start w:val="1"/>
      <w:numFmt w:val="bullet"/>
      <w:lvlText w:val=""/>
      <w:lvlJc w:val="left"/>
      <w:pPr>
        <w:tabs>
          <w:tab w:val="num" w:pos="720"/>
        </w:tabs>
        <w:ind w:left="720" w:hanging="360"/>
      </w:pPr>
      <w:rPr>
        <w:rFonts w:ascii="Symbol" w:hAnsi="Symbol" w:hint="default"/>
        <w:sz w:val="20"/>
      </w:rPr>
    </w:lvl>
    <w:lvl w:ilvl="1" w:tplc="41E45324" w:tentative="1">
      <w:start w:val="1"/>
      <w:numFmt w:val="bullet"/>
      <w:lvlText w:val=""/>
      <w:lvlJc w:val="left"/>
      <w:pPr>
        <w:tabs>
          <w:tab w:val="num" w:pos="1440"/>
        </w:tabs>
        <w:ind w:left="1440" w:hanging="360"/>
      </w:pPr>
      <w:rPr>
        <w:rFonts w:ascii="Symbol" w:hAnsi="Symbol" w:hint="default"/>
        <w:sz w:val="20"/>
      </w:rPr>
    </w:lvl>
    <w:lvl w:ilvl="2" w:tplc="DECCBDD8" w:tentative="1">
      <w:start w:val="1"/>
      <w:numFmt w:val="bullet"/>
      <w:lvlText w:val=""/>
      <w:lvlJc w:val="left"/>
      <w:pPr>
        <w:tabs>
          <w:tab w:val="num" w:pos="2160"/>
        </w:tabs>
        <w:ind w:left="2160" w:hanging="360"/>
      </w:pPr>
      <w:rPr>
        <w:rFonts w:ascii="Symbol" w:hAnsi="Symbol" w:hint="default"/>
        <w:sz w:val="20"/>
      </w:rPr>
    </w:lvl>
    <w:lvl w:ilvl="3" w:tplc="BA46914A" w:tentative="1">
      <w:start w:val="1"/>
      <w:numFmt w:val="bullet"/>
      <w:lvlText w:val=""/>
      <w:lvlJc w:val="left"/>
      <w:pPr>
        <w:tabs>
          <w:tab w:val="num" w:pos="2880"/>
        </w:tabs>
        <w:ind w:left="2880" w:hanging="360"/>
      </w:pPr>
      <w:rPr>
        <w:rFonts w:ascii="Symbol" w:hAnsi="Symbol" w:hint="default"/>
        <w:sz w:val="20"/>
      </w:rPr>
    </w:lvl>
    <w:lvl w:ilvl="4" w:tplc="5F5A6DDE" w:tentative="1">
      <w:start w:val="1"/>
      <w:numFmt w:val="bullet"/>
      <w:lvlText w:val=""/>
      <w:lvlJc w:val="left"/>
      <w:pPr>
        <w:tabs>
          <w:tab w:val="num" w:pos="3600"/>
        </w:tabs>
        <w:ind w:left="3600" w:hanging="360"/>
      </w:pPr>
      <w:rPr>
        <w:rFonts w:ascii="Symbol" w:hAnsi="Symbol" w:hint="default"/>
        <w:sz w:val="20"/>
      </w:rPr>
    </w:lvl>
    <w:lvl w:ilvl="5" w:tplc="653E5316" w:tentative="1">
      <w:start w:val="1"/>
      <w:numFmt w:val="bullet"/>
      <w:lvlText w:val=""/>
      <w:lvlJc w:val="left"/>
      <w:pPr>
        <w:tabs>
          <w:tab w:val="num" w:pos="4320"/>
        </w:tabs>
        <w:ind w:left="4320" w:hanging="360"/>
      </w:pPr>
      <w:rPr>
        <w:rFonts w:ascii="Symbol" w:hAnsi="Symbol" w:hint="default"/>
        <w:sz w:val="20"/>
      </w:rPr>
    </w:lvl>
    <w:lvl w:ilvl="6" w:tplc="0936D6D0" w:tentative="1">
      <w:start w:val="1"/>
      <w:numFmt w:val="bullet"/>
      <w:lvlText w:val=""/>
      <w:lvlJc w:val="left"/>
      <w:pPr>
        <w:tabs>
          <w:tab w:val="num" w:pos="5040"/>
        </w:tabs>
        <w:ind w:left="5040" w:hanging="360"/>
      </w:pPr>
      <w:rPr>
        <w:rFonts w:ascii="Symbol" w:hAnsi="Symbol" w:hint="default"/>
        <w:sz w:val="20"/>
      </w:rPr>
    </w:lvl>
    <w:lvl w:ilvl="7" w:tplc="78B2EAC0" w:tentative="1">
      <w:start w:val="1"/>
      <w:numFmt w:val="bullet"/>
      <w:lvlText w:val=""/>
      <w:lvlJc w:val="left"/>
      <w:pPr>
        <w:tabs>
          <w:tab w:val="num" w:pos="5760"/>
        </w:tabs>
        <w:ind w:left="5760" w:hanging="360"/>
      </w:pPr>
      <w:rPr>
        <w:rFonts w:ascii="Symbol" w:hAnsi="Symbol" w:hint="default"/>
        <w:sz w:val="20"/>
      </w:rPr>
    </w:lvl>
    <w:lvl w:ilvl="8" w:tplc="695A26A2"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6CC6663"/>
    <w:multiLevelType w:val="hybridMultilevel"/>
    <w:tmpl w:val="620267E0"/>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073D5050"/>
    <w:multiLevelType w:val="hybridMultilevel"/>
    <w:tmpl w:val="D3285FB6"/>
    <w:lvl w:ilvl="0" w:tplc="4C667732">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09CE5AF8"/>
    <w:multiLevelType w:val="hybridMultilevel"/>
    <w:tmpl w:val="2FB22C52"/>
    <w:lvl w:ilvl="0" w:tplc="08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CB9408B"/>
    <w:multiLevelType w:val="hybridMultilevel"/>
    <w:tmpl w:val="89980416"/>
    <w:lvl w:ilvl="0" w:tplc="03A8BCCE">
      <w:start w:val="1"/>
      <w:numFmt w:val="bullet"/>
      <w:lvlText w:val=""/>
      <w:lvlJc w:val="left"/>
      <w:pPr>
        <w:ind w:left="360" w:hanging="360"/>
      </w:pPr>
      <w:rPr>
        <w:rFonts w:ascii="Wingdings" w:hAnsi="Wingdings" w:cs="Symbol" w:hint="default"/>
        <w:b w:val="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0D1C0C3D"/>
    <w:multiLevelType w:val="hybridMultilevel"/>
    <w:tmpl w:val="50787AC6"/>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0DAE002B"/>
    <w:multiLevelType w:val="hybridMultilevel"/>
    <w:tmpl w:val="4532E644"/>
    <w:lvl w:ilvl="0" w:tplc="3B06DE2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E853B93"/>
    <w:multiLevelType w:val="hybridMultilevel"/>
    <w:tmpl w:val="602C09F2"/>
    <w:lvl w:ilvl="0" w:tplc="D8A6FABC">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0F0446F1"/>
    <w:multiLevelType w:val="hybridMultilevel"/>
    <w:tmpl w:val="88882CFE"/>
    <w:lvl w:ilvl="0" w:tplc="D8A6FABC">
      <w:start w:val="1"/>
      <w:numFmt w:val="bullet"/>
      <w:lvlText w:val="Օ"/>
      <w:lvlJc w:val="left"/>
      <w:pPr>
        <w:ind w:left="720" w:hanging="360"/>
      </w:pPr>
      <w:rPr>
        <w:rFonts w:ascii="Arial" w:hAnsi="Arial" w:hint="default"/>
        <w:b w:val="0"/>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10204A3B"/>
    <w:multiLevelType w:val="hybridMultilevel"/>
    <w:tmpl w:val="EE8E752C"/>
    <w:lvl w:ilvl="0" w:tplc="BEA8B28A">
      <w:start w:val="1"/>
      <w:numFmt w:val="bullet"/>
      <w:lvlText w:val=""/>
      <w:lvlJc w:val="left"/>
      <w:pPr>
        <w:ind w:left="720" w:hanging="360"/>
      </w:pPr>
      <w:rPr>
        <w:rFonts w:ascii="Wingdings" w:hAnsi="Wingdings" w:hint="default"/>
        <w:b w:val="0"/>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10413D8D"/>
    <w:multiLevelType w:val="multilevel"/>
    <w:tmpl w:val="05A620E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color w:val="0070C0"/>
      </w:rPr>
    </w:lvl>
    <w:lvl w:ilvl="3">
      <w:start w:val="1"/>
      <w:numFmt w:val="decimal"/>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0" w15:restartNumberingAfterBreak="0">
    <w:nsid w:val="11AD5236"/>
    <w:multiLevelType w:val="hybridMultilevel"/>
    <w:tmpl w:val="AAA89406"/>
    <w:lvl w:ilvl="0" w:tplc="31CEFECE">
      <w:start w:val="1"/>
      <w:numFmt w:val="bullet"/>
      <w:lvlText w:val=""/>
      <w:lvlJc w:val="left"/>
      <w:pPr>
        <w:ind w:left="360" w:hanging="360"/>
      </w:pPr>
      <w:rPr>
        <w:rFonts w:ascii="Wingdings" w:hAnsi="Wingdings" w:hint="default"/>
        <w:sz w:val="20"/>
        <w:szCs w:val="18"/>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14F65C3E"/>
    <w:multiLevelType w:val="hybridMultilevel"/>
    <w:tmpl w:val="1DD82A88"/>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166852BB"/>
    <w:multiLevelType w:val="hybridMultilevel"/>
    <w:tmpl w:val="B8C03E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17B00189"/>
    <w:multiLevelType w:val="hybridMultilevel"/>
    <w:tmpl w:val="18E0C478"/>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183D7F8C"/>
    <w:multiLevelType w:val="hybridMultilevel"/>
    <w:tmpl w:val="C4381A06"/>
    <w:lvl w:ilvl="0" w:tplc="D4D0C43C">
      <w:start w:val="1"/>
      <w:numFmt w:val="bullet"/>
      <w:lvlText w:val="Օ"/>
      <w:lvlJc w:val="left"/>
      <w:pPr>
        <w:ind w:left="720" w:hanging="360"/>
      </w:pPr>
      <w:rPr>
        <w:rFonts w:ascii="Arial" w:hAnsi="Arial" w:hint="default"/>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1C70193A"/>
    <w:multiLevelType w:val="hybridMultilevel"/>
    <w:tmpl w:val="78328AD0"/>
    <w:lvl w:ilvl="0" w:tplc="066A8F3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CD01F27"/>
    <w:multiLevelType w:val="hybridMultilevel"/>
    <w:tmpl w:val="37B0E102"/>
    <w:lvl w:ilvl="0" w:tplc="0D06F330">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1D7C5EBA"/>
    <w:multiLevelType w:val="hybridMultilevel"/>
    <w:tmpl w:val="81CA93C6"/>
    <w:lvl w:ilvl="0" w:tplc="D8A6FABC">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1D8C37E2"/>
    <w:multiLevelType w:val="hybridMultilevel"/>
    <w:tmpl w:val="1FCE8DBC"/>
    <w:lvl w:ilvl="0" w:tplc="5E4C0E84">
      <w:start w:val="1"/>
      <w:numFmt w:val="bullet"/>
      <w:lvlText w:val="Օ"/>
      <w:lvlJc w:val="left"/>
      <w:pPr>
        <w:ind w:left="360" w:hanging="360"/>
      </w:pPr>
      <w:rPr>
        <w:rFonts w:ascii="Arial" w:hAnsi="Arial" w:cs="Arial" w:hint="default"/>
        <w:b w:val="0"/>
        <w:sz w:val="22"/>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1EE73CBF"/>
    <w:multiLevelType w:val="hybridMultilevel"/>
    <w:tmpl w:val="71F06000"/>
    <w:lvl w:ilvl="0" w:tplc="5CB289DC">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216438C5"/>
    <w:multiLevelType w:val="hybridMultilevel"/>
    <w:tmpl w:val="C37CF29C"/>
    <w:lvl w:ilvl="0" w:tplc="56CC227E">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23F126B"/>
    <w:multiLevelType w:val="hybridMultilevel"/>
    <w:tmpl w:val="13D8B848"/>
    <w:lvl w:ilvl="0" w:tplc="34F63FCC">
      <w:start w:val="1"/>
      <w:numFmt w:val="bullet"/>
      <w:lvlText w:val=""/>
      <w:lvlJc w:val="left"/>
      <w:pPr>
        <w:ind w:left="360" w:hanging="360"/>
      </w:pPr>
      <w:rPr>
        <w:rFonts w:ascii="Wingdings" w:hAnsi="Wingdings" w:hint="default"/>
        <w:sz w:val="20"/>
        <w:szCs w:val="1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22640020"/>
    <w:multiLevelType w:val="hybridMultilevel"/>
    <w:tmpl w:val="055C1AFC"/>
    <w:lvl w:ilvl="0" w:tplc="E75695A4">
      <w:start w:val="1"/>
      <w:numFmt w:val="bullet"/>
      <w:lvlText w:val="Օ"/>
      <w:lvlJc w:val="left"/>
      <w:pPr>
        <w:ind w:left="720" w:hanging="360"/>
      </w:pPr>
      <w:rPr>
        <w:rFonts w:ascii="Arial" w:hAnsi="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251D0CEA"/>
    <w:multiLevelType w:val="hybridMultilevel"/>
    <w:tmpl w:val="9A0E9642"/>
    <w:lvl w:ilvl="0" w:tplc="991C3D66">
      <w:start w:val="1"/>
      <w:numFmt w:val="bullet"/>
      <w:lvlText w:val=""/>
      <w:lvlJc w:val="left"/>
      <w:pPr>
        <w:ind w:left="360" w:hanging="360"/>
      </w:pPr>
      <w:rPr>
        <w:rFonts w:ascii="Symbol" w:hAnsi="Symbol" w:hint="default"/>
      </w:rPr>
    </w:lvl>
    <w:lvl w:ilvl="1" w:tplc="F01E6D20">
      <w:start w:val="1"/>
      <w:numFmt w:val="bullet"/>
      <w:lvlText w:val=""/>
      <w:lvlJc w:val="left"/>
      <w:pPr>
        <w:ind w:left="720" w:hanging="360"/>
      </w:pPr>
      <w:rPr>
        <w:rFonts w:ascii="Wingdings" w:hAnsi="Wingdings" w:hint="default"/>
      </w:rPr>
    </w:lvl>
    <w:lvl w:ilvl="2" w:tplc="D6C6EE44">
      <w:start w:val="1"/>
      <w:numFmt w:val="bullet"/>
      <w:lvlText w:val=""/>
      <w:lvlJc w:val="left"/>
      <w:pPr>
        <w:ind w:left="1080" w:hanging="360"/>
      </w:pPr>
      <w:rPr>
        <w:rFonts w:ascii="Wingdings" w:hAnsi="Wingdings" w:hint="default"/>
      </w:rPr>
    </w:lvl>
    <w:lvl w:ilvl="3" w:tplc="6AF242E2">
      <w:start w:val="1"/>
      <w:numFmt w:val="bullet"/>
      <w:lvlText w:val=""/>
      <w:lvlJc w:val="left"/>
      <w:pPr>
        <w:ind w:left="1440" w:hanging="360"/>
      </w:pPr>
      <w:rPr>
        <w:rFonts w:ascii="Wingdings" w:hAnsi="Wingdings" w:hint="default"/>
      </w:rPr>
    </w:lvl>
    <w:lvl w:ilvl="4" w:tplc="4884633C">
      <w:start w:val="1"/>
      <w:numFmt w:val="bullet"/>
      <w:lvlText w:val=""/>
      <w:lvlJc w:val="left"/>
      <w:pPr>
        <w:ind w:left="1800" w:hanging="360"/>
      </w:pPr>
      <w:rPr>
        <w:rFonts w:ascii="Wingdings" w:hAnsi="Wingdings" w:hint="default"/>
      </w:rPr>
    </w:lvl>
    <w:lvl w:ilvl="5" w:tplc="7A1AD22C">
      <w:start w:val="1"/>
      <w:numFmt w:val="bullet"/>
      <w:lvlText w:val=""/>
      <w:lvlJc w:val="left"/>
      <w:pPr>
        <w:ind w:left="2160" w:hanging="360"/>
      </w:pPr>
      <w:rPr>
        <w:rFonts w:ascii="Wingdings" w:hAnsi="Wingdings" w:hint="default"/>
      </w:rPr>
    </w:lvl>
    <w:lvl w:ilvl="6" w:tplc="91923BD6">
      <w:start w:val="1"/>
      <w:numFmt w:val="bullet"/>
      <w:lvlText w:val=""/>
      <w:lvlJc w:val="left"/>
      <w:pPr>
        <w:ind w:left="2520" w:hanging="360"/>
      </w:pPr>
      <w:rPr>
        <w:rFonts w:ascii="Wingdings" w:hAnsi="Wingdings" w:hint="default"/>
      </w:rPr>
    </w:lvl>
    <w:lvl w:ilvl="7" w:tplc="F5986FA0">
      <w:start w:val="1"/>
      <w:numFmt w:val="bullet"/>
      <w:lvlText w:val=""/>
      <w:lvlJc w:val="left"/>
      <w:pPr>
        <w:ind w:left="2880" w:hanging="360"/>
      </w:pPr>
      <w:rPr>
        <w:rFonts w:ascii="Wingdings" w:hAnsi="Wingdings" w:hint="default"/>
      </w:rPr>
    </w:lvl>
    <w:lvl w:ilvl="8" w:tplc="BC580F86">
      <w:start w:val="1"/>
      <w:numFmt w:val="bullet"/>
      <w:lvlText w:val=""/>
      <w:lvlJc w:val="left"/>
      <w:pPr>
        <w:ind w:left="3240" w:hanging="360"/>
      </w:pPr>
      <w:rPr>
        <w:rFonts w:ascii="Wingdings" w:hAnsi="Wingdings" w:hint="default"/>
      </w:rPr>
    </w:lvl>
  </w:abstractNum>
  <w:abstractNum w:abstractNumId="34" w15:restartNumberingAfterBreak="0">
    <w:nsid w:val="25561C60"/>
    <w:multiLevelType w:val="hybridMultilevel"/>
    <w:tmpl w:val="A0381EC8"/>
    <w:lvl w:ilvl="0" w:tplc="D8A6FABC">
      <w:start w:val="1"/>
      <w:numFmt w:val="bullet"/>
      <w:lvlText w:val="Օ"/>
      <w:lvlJc w:val="left"/>
      <w:pPr>
        <w:ind w:left="720" w:hanging="360"/>
      </w:pPr>
      <w:rPr>
        <w:rFonts w:ascii="Arial" w:hAnsi="Arial" w:hint="default"/>
        <w:b w:val="0"/>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25C240BF"/>
    <w:multiLevelType w:val="hybridMultilevel"/>
    <w:tmpl w:val="0B68D4AA"/>
    <w:lvl w:ilvl="0" w:tplc="02E8C898">
      <w:start w:val="1"/>
      <w:numFmt w:val="bullet"/>
      <w:lvlText w:val=""/>
      <w:lvlJc w:val="left"/>
      <w:pPr>
        <w:ind w:left="720" w:hanging="360"/>
      </w:pPr>
      <w:rPr>
        <w:rFonts w:ascii="Wingdings" w:hAnsi="Wingdings" w:hint="default"/>
        <w:b w:val="0"/>
        <w:bCs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26CD2D3C"/>
    <w:multiLevelType w:val="hybridMultilevel"/>
    <w:tmpl w:val="3494655A"/>
    <w:lvl w:ilvl="0" w:tplc="3B06DE28">
      <w:start w:val="1"/>
      <w:numFmt w:val="bullet"/>
      <w:lvlText w:val=""/>
      <w:lvlJc w:val="left"/>
      <w:pPr>
        <w:ind w:left="720" w:hanging="360"/>
      </w:pPr>
      <w:rPr>
        <w:rFonts w:ascii="Wingdings" w:hAnsi="Wingdings" w:hint="default"/>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27E94135"/>
    <w:multiLevelType w:val="hybridMultilevel"/>
    <w:tmpl w:val="DBCCB588"/>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28796F1E"/>
    <w:multiLevelType w:val="hybridMultilevel"/>
    <w:tmpl w:val="C5EEF5B6"/>
    <w:lvl w:ilvl="0" w:tplc="EA14807E">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29393B3B"/>
    <w:multiLevelType w:val="hybridMultilevel"/>
    <w:tmpl w:val="045ECCAC"/>
    <w:lvl w:ilvl="0" w:tplc="E3F84308">
      <w:start w:val="4"/>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29724284"/>
    <w:multiLevelType w:val="hybridMultilevel"/>
    <w:tmpl w:val="7CB6D6CA"/>
    <w:lvl w:ilvl="0" w:tplc="A5E27E52">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2AAA6CD0"/>
    <w:multiLevelType w:val="hybridMultilevel"/>
    <w:tmpl w:val="79A8A1EE"/>
    <w:lvl w:ilvl="0" w:tplc="08090005">
      <w:start w:val="1"/>
      <w:numFmt w:val="bullet"/>
      <w:lvlText w:val=""/>
      <w:lvlJc w:val="left"/>
      <w:pPr>
        <w:ind w:left="717" w:hanging="360"/>
      </w:pPr>
      <w:rPr>
        <w:rFonts w:ascii="Wingdings" w:hAnsi="Wingdings"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42" w15:restartNumberingAfterBreak="0">
    <w:nsid w:val="2F2C5E56"/>
    <w:multiLevelType w:val="hybridMultilevel"/>
    <w:tmpl w:val="8D7AE8FE"/>
    <w:lvl w:ilvl="0" w:tplc="D4D0C43C">
      <w:start w:val="1"/>
      <w:numFmt w:val="bullet"/>
      <w:lvlText w:val="Օ"/>
      <w:lvlJc w:val="left"/>
      <w:pPr>
        <w:ind w:left="720" w:hanging="360"/>
      </w:pPr>
      <w:rPr>
        <w:rFonts w:ascii="Arial" w:hAnsi="Arial" w:hint="default"/>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2F7D0422"/>
    <w:multiLevelType w:val="hybridMultilevel"/>
    <w:tmpl w:val="46D6D5DC"/>
    <w:lvl w:ilvl="0" w:tplc="E83021B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30795F21"/>
    <w:multiLevelType w:val="hybridMultilevel"/>
    <w:tmpl w:val="48CE9128"/>
    <w:lvl w:ilvl="0" w:tplc="391C385A">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31000064"/>
    <w:multiLevelType w:val="hybridMultilevel"/>
    <w:tmpl w:val="4C829666"/>
    <w:lvl w:ilvl="0" w:tplc="B6AA131A">
      <w:start w:val="4"/>
      <w:numFmt w:val="bullet"/>
      <w:lvlText w:val=""/>
      <w:lvlJc w:val="left"/>
      <w:pPr>
        <w:ind w:left="1800" w:hanging="360"/>
      </w:pPr>
      <w:rPr>
        <w:rFonts w:ascii="Symbol" w:eastAsia="Calibri" w:hAnsi="Symbol" w:cs="Times New Roman"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abstractNum w:abstractNumId="46" w15:restartNumberingAfterBreak="0">
    <w:nsid w:val="315E32BA"/>
    <w:multiLevelType w:val="hybridMultilevel"/>
    <w:tmpl w:val="86B68874"/>
    <w:lvl w:ilvl="0" w:tplc="926E01E2">
      <w:start w:val="1"/>
      <w:numFmt w:val="bullet"/>
      <w:lvlText w:val="Օ"/>
      <w:lvlJc w:val="left"/>
      <w:pPr>
        <w:ind w:left="360" w:hanging="360"/>
      </w:pPr>
      <w:rPr>
        <w:rFonts w:ascii="Arial" w:hAnsi="Arial" w:hint="default"/>
        <w:sz w:val="2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7" w15:restartNumberingAfterBreak="0">
    <w:nsid w:val="34B96862"/>
    <w:multiLevelType w:val="hybridMultilevel"/>
    <w:tmpl w:val="7BC0EF86"/>
    <w:lvl w:ilvl="0" w:tplc="73DE75B8">
      <w:start w:val="1"/>
      <w:numFmt w:val="bullet"/>
      <w:lvlText w:val=""/>
      <w:lvlJc w:val="left"/>
      <w:pPr>
        <w:ind w:left="360" w:hanging="360"/>
      </w:pPr>
      <w:rPr>
        <w:rFonts w:ascii="Wingdings" w:hAnsi="Wingdings" w:hint="default"/>
        <w:sz w:val="20"/>
        <w:szCs w:val="1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8" w15:restartNumberingAfterBreak="0">
    <w:nsid w:val="372F4722"/>
    <w:multiLevelType w:val="hybridMultilevel"/>
    <w:tmpl w:val="59C0B774"/>
    <w:lvl w:ilvl="0" w:tplc="BB14A38A">
      <w:start w:val="1"/>
      <w:numFmt w:val="bullet"/>
      <w:pStyle w:val="Bullestlist2"/>
      <w:lvlText w:val=""/>
      <w:lvlJc w:val="left"/>
      <w:pPr>
        <w:ind w:left="720" w:hanging="360"/>
      </w:pPr>
      <w:rPr>
        <w:rFonts w:ascii="Wingdings" w:hAnsi="Wingdings" w:hint="default"/>
        <w:color w:val="00B0F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37795619"/>
    <w:multiLevelType w:val="hybridMultilevel"/>
    <w:tmpl w:val="2A9E3374"/>
    <w:lvl w:ilvl="0" w:tplc="5BB45B44">
      <w:start w:val="1"/>
      <w:numFmt w:val="bullet"/>
      <w:pStyle w:val="Listepuces"/>
      <w:lvlText w:val="■"/>
      <w:lvlJc w:val="left"/>
      <w:pPr>
        <w:ind w:left="720" w:hanging="360"/>
      </w:pPr>
      <w:rPr>
        <w:rFonts w:ascii="Arial" w:hAnsi="Arial" w:hint="default"/>
        <w:color w:val="0070C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38CA69DB"/>
    <w:multiLevelType w:val="hybridMultilevel"/>
    <w:tmpl w:val="63DEB42A"/>
    <w:lvl w:ilvl="0" w:tplc="0408F8E8">
      <w:start w:val="1"/>
      <w:numFmt w:val="bullet"/>
      <w:lvlText w:val="Օ"/>
      <w:lvlJc w:val="left"/>
      <w:pPr>
        <w:ind w:left="720" w:hanging="360"/>
      </w:pPr>
      <w:rPr>
        <w:rFonts w:ascii="Arial" w:hAnsi="Arial" w:hint="default"/>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3CA6710E"/>
    <w:multiLevelType w:val="hybridMultilevel"/>
    <w:tmpl w:val="105ABF88"/>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40885EC4"/>
    <w:multiLevelType w:val="hybridMultilevel"/>
    <w:tmpl w:val="4F447D96"/>
    <w:lvl w:ilvl="0" w:tplc="4AF2A51A">
      <w:numFmt w:val="bullet"/>
      <w:lvlText w:val=""/>
      <w:lvlJc w:val="left"/>
      <w:pPr>
        <w:ind w:left="1080" w:hanging="360"/>
      </w:pPr>
      <w:rPr>
        <w:rFonts w:ascii="Symbol" w:eastAsiaTheme="minorHAnsi" w:hAnsi="Symbol" w:cstheme="minorBidi"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53" w15:restartNumberingAfterBreak="0">
    <w:nsid w:val="40F23464"/>
    <w:multiLevelType w:val="hybridMultilevel"/>
    <w:tmpl w:val="5292349E"/>
    <w:lvl w:ilvl="0" w:tplc="08090003">
      <w:start w:val="1"/>
      <w:numFmt w:val="bullet"/>
      <w:lvlText w:val="o"/>
      <w:lvlJc w:val="left"/>
      <w:pPr>
        <w:ind w:left="518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413678FF"/>
    <w:multiLevelType w:val="hybridMultilevel"/>
    <w:tmpl w:val="65CA5F66"/>
    <w:lvl w:ilvl="0" w:tplc="3B06DE2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45D0772F"/>
    <w:multiLevelType w:val="hybridMultilevel"/>
    <w:tmpl w:val="074E93DA"/>
    <w:lvl w:ilvl="0" w:tplc="DF5A3802">
      <w:start w:val="1"/>
      <w:numFmt w:val="decimal"/>
      <w:lvlText w:val="%1."/>
      <w:lvlJc w:val="left"/>
      <w:pPr>
        <w:ind w:left="530" w:hanging="360"/>
      </w:pPr>
      <w:rPr>
        <w:rFonts w:hint="default"/>
      </w:rPr>
    </w:lvl>
    <w:lvl w:ilvl="1" w:tplc="08090019" w:tentative="1">
      <w:start w:val="1"/>
      <w:numFmt w:val="lowerLetter"/>
      <w:lvlText w:val="%2."/>
      <w:lvlJc w:val="left"/>
      <w:pPr>
        <w:ind w:left="1250" w:hanging="360"/>
      </w:pPr>
    </w:lvl>
    <w:lvl w:ilvl="2" w:tplc="0809001B" w:tentative="1">
      <w:start w:val="1"/>
      <w:numFmt w:val="lowerRoman"/>
      <w:lvlText w:val="%3."/>
      <w:lvlJc w:val="right"/>
      <w:pPr>
        <w:ind w:left="1970" w:hanging="180"/>
      </w:pPr>
    </w:lvl>
    <w:lvl w:ilvl="3" w:tplc="0809000F" w:tentative="1">
      <w:start w:val="1"/>
      <w:numFmt w:val="decimal"/>
      <w:lvlText w:val="%4."/>
      <w:lvlJc w:val="left"/>
      <w:pPr>
        <w:ind w:left="2690" w:hanging="360"/>
      </w:pPr>
    </w:lvl>
    <w:lvl w:ilvl="4" w:tplc="08090019" w:tentative="1">
      <w:start w:val="1"/>
      <w:numFmt w:val="lowerLetter"/>
      <w:lvlText w:val="%5."/>
      <w:lvlJc w:val="left"/>
      <w:pPr>
        <w:ind w:left="3410" w:hanging="360"/>
      </w:pPr>
    </w:lvl>
    <w:lvl w:ilvl="5" w:tplc="0809001B" w:tentative="1">
      <w:start w:val="1"/>
      <w:numFmt w:val="lowerRoman"/>
      <w:lvlText w:val="%6."/>
      <w:lvlJc w:val="right"/>
      <w:pPr>
        <w:ind w:left="4130" w:hanging="180"/>
      </w:pPr>
    </w:lvl>
    <w:lvl w:ilvl="6" w:tplc="0809000F" w:tentative="1">
      <w:start w:val="1"/>
      <w:numFmt w:val="decimal"/>
      <w:lvlText w:val="%7."/>
      <w:lvlJc w:val="left"/>
      <w:pPr>
        <w:ind w:left="4850" w:hanging="360"/>
      </w:pPr>
    </w:lvl>
    <w:lvl w:ilvl="7" w:tplc="08090019" w:tentative="1">
      <w:start w:val="1"/>
      <w:numFmt w:val="lowerLetter"/>
      <w:lvlText w:val="%8."/>
      <w:lvlJc w:val="left"/>
      <w:pPr>
        <w:ind w:left="5570" w:hanging="360"/>
      </w:pPr>
    </w:lvl>
    <w:lvl w:ilvl="8" w:tplc="0809001B" w:tentative="1">
      <w:start w:val="1"/>
      <w:numFmt w:val="lowerRoman"/>
      <w:lvlText w:val="%9."/>
      <w:lvlJc w:val="right"/>
      <w:pPr>
        <w:ind w:left="6290" w:hanging="180"/>
      </w:pPr>
    </w:lvl>
  </w:abstractNum>
  <w:abstractNum w:abstractNumId="56" w15:restartNumberingAfterBreak="0">
    <w:nsid w:val="474038EA"/>
    <w:multiLevelType w:val="hybridMultilevel"/>
    <w:tmpl w:val="509617D6"/>
    <w:lvl w:ilvl="0" w:tplc="B490ACF4">
      <w:start w:val="1"/>
      <w:numFmt w:val="bullet"/>
      <w:lvlText w:val="Օ"/>
      <w:lvlJc w:val="left"/>
      <w:pPr>
        <w:ind w:left="360" w:hanging="360"/>
      </w:pPr>
      <w:rPr>
        <w:rFonts w:ascii="Arial" w:hAnsi="Arial" w:hint="default"/>
        <w:sz w:val="22"/>
        <w:szCs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4780485D"/>
    <w:multiLevelType w:val="hybridMultilevel"/>
    <w:tmpl w:val="84EE1BCE"/>
    <w:lvl w:ilvl="0" w:tplc="EE549B0C">
      <w:start w:val="1"/>
      <w:numFmt w:val="bullet"/>
      <w:lvlText w:val=""/>
      <w:lvlJc w:val="left"/>
      <w:pPr>
        <w:ind w:left="720" w:hanging="360"/>
      </w:pPr>
      <w:rPr>
        <w:rFonts w:ascii="Wingdings" w:hAnsi="Wingdings"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47DE4FAF"/>
    <w:multiLevelType w:val="hybridMultilevel"/>
    <w:tmpl w:val="25C8EA68"/>
    <w:lvl w:ilvl="0" w:tplc="CBE0E830">
      <w:start w:val="1"/>
      <w:numFmt w:val="bullet"/>
      <w:pStyle w:val="Bullet1"/>
      <w:lvlText w:val=""/>
      <w:lvlJc w:val="left"/>
      <w:pPr>
        <w:ind w:left="360" w:hanging="360"/>
      </w:pPr>
      <w:rPr>
        <w:rFonts w:ascii="Symbol" w:hAnsi="Symbol" w:hint="default"/>
        <w:color w:val="FFC000" w:themeColor="accent4"/>
        <w:sz w:val="24"/>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15:restartNumberingAfterBreak="0">
    <w:nsid w:val="483D05B0"/>
    <w:multiLevelType w:val="hybridMultilevel"/>
    <w:tmpl w:val="091258A2"/>
    <w:lvl w:ilvl="0" w:tplc="C470A982">
      <w:start w:val="1"/>
      <w:numFmt w:val="bullet"/>
      <w:lvlText w:val=""/>
      <w:lvlJc w:val="left"/>
      <w:pPr>
        <w:ind w:left="720" w:hanging="360"/>
      </w:pPr>
      <w:rPr>
        <w:rFonts w:ascii="Wingdings" w:hAnsi="Wingdings"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489F4E46"/>
    <w:multiLevelType w:val="hybridMultilevel"/>
    <w:tmpl w:val="66A2C9BA"/>
    <w:lvl w:ilvl="0" w:tplc="7996FA62">
      <w:start w:val="1"/>
      <w:numFmt w:val="bullet"/>
      <w:lvlText w:val=""/>
      <w:lvlJc w:val="left"/>
      <w:pPr>
        <w:ind w:left="360" w:hanging="360"/>
      </w:pPr>
      <w:rPr>
        <w:rFonts w:ascii="Wingdings" w:hAnsi="Wingdings"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4BF00BD7"/>
    <w:multiLevelType w:val="hybridMultilevel"/>
    <w:tmpl w:val="CDE0AB3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2" w15:restartNumberingAfterBreak="0">
    <w:nsid w:val="4C0473ED"/>
    <w:multiLevelType w:val="hybridMultilevel"/>
    <w:tmpl w:val="1B1ED03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4D3F3F1B"/>
    <w:multiLevelType w:val="hybridMultilevel"/>
    <w:tmpl w:val="4814AB22"/>
    <w:lvl w:ilvl="0" w:tplc="E75695A4">
      <w:start w:val="1"/>
      <w:numFmt w:val="bullet"/>
      <w:lvlText w:val="Օ"/>
      <w:lvlJc w:val="left"/>
      <w:pPr>
        <w:ind w:left="1080" w:hanging="360"/>
      </w:pPr>
      <w:rPr>
        <w:rFonts w:ascii="Arial" w:hAnsi="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4" w15:restartNumberingAfterBreak="0">
    <w:nsid w:val="4D993C8B"/>
    <w:multiLevelType w:val="hybridMultilevel"/>
    <w:tmpl w:val="171C0040"/>
    <w:lvl w:ilvl="0" w:tplc="14844B26">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15:restartNumberingAfterBreak="0">
    <w:nsid w:val="4D9E76A1"/>
    <w:multiLevelType w:val="hybridMultilevel"/>
    <w:tmpl w:val="91EA696C"/>
    <w:lvl w:ilvl="0" w:tplc="0408F8E8">
      <w:start w:val="1"/>
      <w:numFmt w:val="bullet"/>
      <w:lvlText w:val="Օ"/>
      <w:lvlJc w:val="left"/>
      <w:pPr>
        <w:ind w:left="360" w:hanging="360"/>
      </w:pPr>
      <w:rPr>
        <w:rFonts w:ascii="Arial" w:hAnsi="Arial" w:hint="default"/>
        <w:sz w:val="2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6" w15:restartNumberingAfterBreak="0">
    <w:nsid w:val="4F5C393B"/>
    <w:multiLevelType w:val="hybridMultilevel"/>
    <w:tmpl w:val="EA9CF8F2"/>
    <w:lvl w:ilvl="0" w:tplc="E75695A4">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516670D8"/>
    <w:multiLevelType w:val="hybridMultilevel"/>
    <w:tmpl w:val="DFF6A4D4"/>
    <w:lvl w:ilvl="0" w:tplc="926E01E2">
      <w:start w:val="1"/>
      <w:numFmt w:val="bullet"/>
      <w:lvlText w:val="Օ"/>
      <w:lvlJc w:val="left"/>
      <w:pPr>
        <w:ind w:left="360" w:hanging="360"/>
      </w:pPr>
      <w:rPr>
        <w:rFonts w:ascii="Arial" w:hAnsi="Arial" w:hint="default"/>
        <w:sz w:val="2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8" w15:restartNumberingAfterBreak="0">
    <w:nsid w:val="520E1DD7"/>
    <w:multiLevelType w:val="hybridMultilevel"/>
    <w:tmpl w:val="F1EC87F0"/>
    <w:lvl w:ilvl="0" w:tplc="9626B5CC">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558C1E44"/>
    <w:multiLevelType w:val="hybridMultilevel"/>
    <w:tmpl w:val="5C2C8DD2"/>
    <w:lvl w:ilvl="0" w:tplc="098235EE">
      <w:start w:val="1"/>
      <w:numFmt w:val="upperLetter"/>
      <w:lvlText w:val="(%1)"/>
      <w:lvlJc w:val="left"/>
      <w:pPr>
        <w:ind w:left="807" w:hanging="360"/>
      </w:pPr>
      <w:rPr>
        <w:rFonts w:eastAsia="Times New Roman" w:hint="default"/>
      </w:rPr>
    </w:lvl>
    <w:lvl w:ilvl="1" w:tplc="08090019" w:tentative="1">
      <w:start w:val="1"/>
      <w:numFmt w:val="lowerLetter"/>
      <w:lvlText w:val="%2."/>
      <w:lvlJc w:val="left"/>
      <w:pPr>
        <w:ind w:left="1527" w:hanging="360"/>
      </w:pPr>
    </w:lvl>
    <w:lvl w:ilvl="2" w:tplc="0809001B" w:tentative="1">
      <w:start w:val="1"/>
      <w:numFmt w:val="lowerRoman"/>
      <w:lvlText w:val="%3."/>
      <w:lvlJc w:val="right"/>
      <w:pPr>
        <w:ind w:left="2247" w:hanging="180"/>
      </w:pPr>
    </w:lvl>
    <w:lvl w:ilvl="3" w:tplc="0809000F" w:tentative="1">
      <w:start w:val="1"/>
      <w:numFmt w:val="decimal"/>
      <w:lvlText w:val="%4."/>
      <w:lvlJc w:val="left"/>
      <w:pPr>
        <w:ind w:left="2967" w:hanging="360"/>
      </w:pPr>
    </w:lvl>
    <w:lvl w:ilvl="4" w:tplc="08090019" w:tentative="1">
      <w:start w:val="1"/>
      <w:numFmt w:val="lowerLetter"/>
      <w:lvlText w:val="%5."/>
      <w:lvlJc w:val="left"/>
      <w:pPr>
        <w:ind w:left="3687" w:hanging="360"/>
      </w:pPr>
    </w:lvl>
    <w:lvl w:ilvl="5" w:tplc="0809001B" w:tentative="1">
      <w:start w:val="1"/>
      <w:numFmt w:val="lowerRoman"/>
      <w:lvlText w:val="%6."/>
      <w:lvlJc w:val="right"/>
      <w:pPr>
        <w:ind w:left="4407" w:hanging="180"/>
      </w:pPr>
    </w:lvl>
    <w:lvl w:ilvl="6" w:tplc="0809000F" w:tentative="1">
      <w:start w:val="1"/>
      <w:numFmt w:val="decimal"/>
      <w:lvlText w:val="%7."/>
      <w:lvlJc w:val="left"/>
      <w:pPr>
        <w:ind w:left="5127" w:hanging="360"/>
      </w:pPr>
    </w:lvl>
    <w:lvl w:ilvl="7" w:tplc="08090019" w:tentative="1">
      <w:start w:val="1"/>
      <w:numFmt w:val="lowerLetter"/>
      <w:lvlText w:val="%8."/>
      <w:lvlJc w:val="left"/>
      <w:pPr>
        <w:ind w:left="5847" w:hanging="360"/>
      </w:pPr>
    </w:lvl>
    <w:lvl w:ilvl="8" w:tplc="0809001B" w:tentative="1">
      <w:start w:val="1"/>
      <w:numFmt w:val="lowerRoman"/>
      <w:lvlText w:val="%9."/>
      <w:lvlJc w:val="right"/>
      <w:pPr>
        <w:ind w:left="6567" w:hanging="180"/>
      </w:pPr>
    </w:lvl>
  </w:abstractNum>
  <w:abstractNum w:abstractNumId="70" w15:restartNumberingAfterBreak="0">
    <w:nsid w:val="589A4514"/>
    <w:multiLevelType w:val="hybridMultilevel"/>
    <w:tmpl w:val="9A74DC7E"/>
    <w:lvl w:ilvl="0" w:tplc="3B06DE28">
      <w:start w:val="1"/>
      <w:numFmt w:val="bullet"/>
      <w:lvlText w:val=""/>
      <w:lvlJc w:val="left"/>
      <w:pPr>
        <w:ind w:left="720" w:hanging="360"/>
      </w:pPr>
      <w:rPr>
        <w:rFonts w:ascii="Wingdings" w:hAnsi="Wingdings" w:hint="default"/>
        <w:b w:val="0"/>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5DDF7AFD"/>
    <w:multiLevelType w:val="hybridMultilevel"/>
    <w:tmpl w:val="4EA43D98"/>
    <w:lvl w:ilvl="0" w:tplc="3B06DE2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5E007EA8"/>
    <w:multiLevelType w:val="hybridMultilevel"/>
    <w:tmpl w:val="C68C7AC2"/>
    <w:lvl w:ilvl="0" w:tplc="D4D0C43C">
      <w:start w:val="1"/>
      <w:numFmt w:val="bullet"/>
      <w:lvlText w:val="Օ"/>
      <w:lvlJc w:val="left"/>
      <w:pPr>
        <w:ind w:left="360" w:hanging="360"/>
      </w:pPr>
      <w:rPr>
        <w:rFonts w:ascii="Arial" w:hAnsi="Arial" w:hint="default"/>
        <w:sz w:val="22"/>
        <w:szCs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15:restartNumberingAfterBreak="0">
    <w:nsid w:val="5F836300"/>
    <w:multiLevelType w:val="hybridMultilevel"/>
    <w:tmpl w:val="8DFC8A96"/>
    <w:lvl w:ilvl="0" w:tplc="3B06DE2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6021191B"/>
    <w:multiLevelType w:val="hybridMultilevel"/>
    <w:tmpl w:val="B43038CE"/>
    <w:lvl w:ilvl="0" w:tplc="3B06DE2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61E546DD"/>
    <w:multiLevelType w:val="hybridMultilevel"/>
    <w:tmpl w:val="D0A039FA"/>
    <w:lvl w:ilvl="0" w:tplc="D8A6FABC">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62313F59"/>
    <w:multiLevelType w:val="hybridMultilevel"/>
    <w:tmpl w:val="AF4ECE10"/>
    <w:lvl w:ilvl="0" w:tplc="6358BF76">
      <w:start w:val="1"/>
      <w:numFmt w:val="bullet"/>
      <w:pStyle w:val="Sous-titre"/>
      <w:lvlText w:val="■"/>
      <w:lvlJc w:val="left"/>
      <w:pPr>
        <w:ind w:left="720" w:hanging="360"/>
      </w:pPr>
      <w:rPr>
        <w:rFonts w:ascii="Arial" w:hAnsi="Arial" w:hint="default"/>
        <w:color w:val="00B0F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627C7320"/>
    <w:multiLevelType w:val="hybridMultilevel"/>
    <w:tmpl w:val="C3C60684"/>
    <w:lvl w:ilvl="0" w:tplc="3B06DE2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62B32F4A"/>
    <w:multiLevelType w:val="hybridMultilevel"/>
    <w:tmpl w:val="617AE77E"/>
    <w:lvl w:ilvl="0" w:tplc="75EA2CA2">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63B13CF8"/>
    <w:multiLevelType w:val="hybridMultilevel"/>
    <w:tmpl w:val="E05CE7E6"/>
    <w:lvl w:ilvl="0" w:tplc="E94A57A0">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0" w15:restartNumberingAfterBreak="0">
    <w:nsid w:val="640909C9"/>
    <w:multiLevelType w:val="hybridMultilevel"/>
    <w:tmpl w:val="3F1CA702"/>
    <w:lvl w:ilvl="0" w:tplc="FFFFFFFF">
      <w:start w:val="1"/>
      <w:numFmt w:val="bullet"/>
      <w:lvlText w:val="Օ"/>
      <w:lvlJc w:val="left"/>
      <w:pPr>
        <w:ind w:left="5180" w:hanging="360"/>
      </w:pPr>
      <w:rPr>
        <w:rFonts w:ascii="Arial" w:hAnsi="Arial" w:hint="default"/>
      </w:rPr>
    </w:lvl>
    <w:lvl w:ilvl="1" w:tplc="E75695A4">
      <w:start w:val="1"/>
      <w:numFmt w:val="bullet"/>
      <w:lvlText w:val="Օ"/>
      <w:lvlJc w:val="left"/>
      <w:pPr>
        <w:ind w:left="1440" w:hanging="360"/>
      </w:pPr>
      <w:rPr>
        <w:rFonts w:ascii="Arial" w:hAnsi="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1" w15:restartNumberingAfterBreak="0">
    <w:nsid w:val="64AE3FF8"/>
    <w:multiLevelType w:val="hybridMultilevel"/>
    <w:tmpl w:val="879E23D4"/>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2" w15:restartNumberingAfterBreak="0">
    <w:nsid w:val="662614A1"/>
    <w:multiLevelType w:val="hybridMultilevel"/>
    <w:tmpl w:val="D33AF314"/>
    <w:lvl w:ilvl="0" w:tplc="F7588BC4">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3" w15:restartNumberingAfterBreak="0">
    <w:nsid w:val="682639C0"/>
    <w:multiLevelType w:val="hybridMultilevel"/>
    <w:tmpl w:val="E70E93E4"/>
    <w:lvl w:ilvl="0" w:tplc="367EDC0E">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15:restartNumberingAfterBreak="0">
    <w:nsid w:val="695B0AE1"/>
    <w:multiLevelType w:val="hybridMultilevel"/>
    <w:tmpl w:val="30D819C6"/>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5" w15:restartNumberingAfterBreak="0">
    <w:nsid w:val="6B2C5759"/>
    <w:multiLevelType w:val="hybridMultilevel"/>
    <w:tmpl w:val="7AACA2F4"/>
    <w:lvl w:ilvl="0" w:tplc="E75695A4">
      <w:start w:val="1"/>
      <w:numFmt w:val="bullet"/>
      <w:lvlText w:val="Օ"/>
      <w:lvlJc w:val="left"/>
      <w:pPr>
        <w:ind w:left="5180" w:hanging="360"/>
      </w:pPr>
      <w:rPr>
        <w:rFonts w:ascii="Arial" w:hAnsi="Aria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6" w15:restartNumberingAfterBreak="0">
    <w:nsid w:val="6BCF2EAE"/>
    <w:multiLevelType w:val="hybridMultilevel"/>
    <w:tmpl w:val="5A60AEC8"/>
    <w:lvl w:ilvl="0" w:tplc="9AAE7ED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15:restartNumberingAfterBreak="0">
    <w:nsid w:val="6C582900"/>
    <w:multiLevelType w:val="hybridMultilevel"/>
    <w:tmpl w:val="3992F370"/>
    <w:lvl w:ilvl="0" w:tplc="D8A6FABC">
      <w:start w:val="1"/>
      <w:numFmt w:val="bullet"/>
      <w:lvlText w:val="Օ"/>
      <w:lvlJc w:val="left"/>
      <w:pPr>
        <w:ind w:left="720" w:hanging="360"/>
      </w:pPr>
      <w:rPr>
        <w:rFonts w:ascii="Arial" w:hAnsi="Arial" w:hint="default"/>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6D6E59EB"/>
    <w:multiLevelType w:val="hybridMultilevel"/>
    <w:tmpl w:val="B9A47070"/>
    <w:lvl w:ilvl="0" w:tplc="926E01E2">
      <w:start w:val="1"/>
      <w:numFmt w:val="bullet"/>
      <w:lvlText w:val="Օ"/>
      <w:lvlJc w:val="left"/>
      <w:pPr>
        <w:ind w:left="360" w:hanging="360"/>
      </w:pPr>
      <w:rPr>
        <w:rFonts w:ascii="Arial" w:hAnsi="Arial" w:hint="default"/>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 w15:restartNumberingAfterBreak="0">
    <w:nsid w:val="6F042FA5"/>
    <w:multiLevelType w:val="hybridMultilevel"/>
    <w:tmpl w:val="67B290EC"/>
    <w:lvl w:ilvl="0" w:tplc="2F66D948">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0" w15:restartNumberingAfterBreak="0">
    <w:nsid w:val="73862300"/>
    <w:multiLevelType w:val="hybridMultilevel"/>
    <w:tmpl w:val="522A7B14"/>
    <w:lvl w:ilvl="0" w:tplc="31EC9982">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1" w15:restartNumberingAfterBreak="0">
    <w:nsid w:val="74967192"/>
    <w:multiLevelType w:val="hybridMultilevel"/>
    <w:tmpl w:val="8AC4ECF8"/>
    <w:lvl w:ilvl="0" w:tplc="E75695A4">
      <w:start w:val="1"/>
      <w:numFmt w:val="bullet"/>
      <w:lvlText w:val="Օ"/>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2" w15:restartNumberingAfterBreak="0">
    <w:nsid w:val="78A8235D"/>
    <w:multiLevelType w:val="hybridMultilevel"/>
    <w:tmpl w:val="F4FC26EA"/>
    <w:lvl w:ilvl="0" w:tplc="29146B08">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3" w15:restartNumberingAfterBreak="0">
    <w:nsid w:val="78F51CB5"/>
    <w:multiLevelType w:val="hybridMultilevel"/>
    <w:tmpl w:val="1F1A7F12"/>
    <w:lvl w:ilvl="0" w:tplc="3B06DE28">
      <w:start w:val="1"/>
      <w:numFmt w:val="bullet"/>
      <w:lvlText w:val=""/>
      <w:lvlJc w:val="left"/>
      <w:pPr>
        <w:ind w:left="518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78FB7F77"/>
    <w:multiLevelType w:val="hybridMultilevel"/>
    <w:tmpl w:val="A092ABD4"/>
    <w:lvl w:ilvl="0" w:tplc="739CC560">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79521039"/>
    <w:multiLevelType w:val="hybridMultilevel"/>
    <w:tmpl w:val="0C0687A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6" w15:restartNumberingAfterBreak="0">
    <w:nsid w:val="7B5F4F7A"/>
    <w:multiLevelType w:val="hybridMultilevel"/>
    <w:tmpl w:val="85DA6E3A"/>
    <w:lvl w:ilvl="0" w:tplc="384E7DEE">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7" w15:restartNumberingAfterBreak="0">
    <w:nsid w:val="7B677AFB"/>
    <w:multiLevelType w:val="hybridMultilevel"/>
    <w:tmpl w:val="072EC014"/>
    <w:lvl w:ilvl="0" w:tplc="52B8E6AE">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8" w15:restartNumberingAfterBreak="0">
    <w:nsid w:val="7C144C01"/>
    <w:multiLevelType w:val="hybridMultilevel"/>
    <w:tmpl w:val="F10AB518"/>
    <w:lvl w:ilvl="0" w:tplc="5E4C0E84">
      <w:start w:val="1"/>
      <w:numFmt w:val="bullet"/>
      <w:lvlText w:val="Օ"/>
      <w:lvlJc w:val="left"/>
      <w:pPr>
        <w:ind w:left="360" w:hanging="360"/>
      </w:pPr>
      <w:rPr>
        <w:rFonts w:ascii="Arial" w:hAnsi="Arial" w:cs="Arial" w:hint="default"/>
        <w:b w:val="0"/>
        <w:sz w:val="22"/>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9" w15:restartNumberingAfterBreak="0">
    <w:nsid w:val="7D0F0CF2"/>
    <w:multiLevelType w:val="hybridMultilevel"/>
    <w:tmpl w:val="F4C25C1C"/>
    <w:lvl w:ilvl="0" w:tplc="1496365C">
      <w:start w:val="1"/>
      <w:numFmt w:val="bullet"/>
      <w:pStyle w:val="Listepuces3"/>
      <w:lvlText w:val="■"/>
      <w:lvlJc w:val="left"/>
      <w:pPr>
        <w:tabs>
          <w:tab w:val="num" w:pos="926"/>
        </w:tabs>
        <w:ind w:left="926" w:hanging="360"/>
      </w:pPr>
      <w:rPr>
        <w:rFonts w:ascii="Arial" w:hAnsi="Arial" w:hint="default"/>
        <w:color w:val="7F7F7F" w:themeColor="text1" w:themeTint="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88961688">
    <w:abstractNumId w:val="49"/>
  </w:num>
  <w:num w:numId="2" w16cid:durableId="1355115325">
    <w:abstractNumId w:val="6"/>
  </w:num>
  <w:num w:numId="3" w16cid:durableId="1309440006">
    <w:abstractNumId w:val="76"/>
  </w:num>
  <w:num w:numId="4" w16cid:durableId="1635215126">
    <w:abstractNumId w:val="48"/>
  </w:num>
  <w:num w:numId="5" w16cid:durableId="1828788100">
    <w:abstractNumId w:val="99"/>
  </w:num>
  <w:num w:numId="6" w16cid:durableId="105270569">
    <w:abstractNumId w:val="58"/>
  </w:num>
  <w:num w:numId="7" w16cid:durableId="468942297">
    <w:abstractNumId w:val="19"/>
  </w:num>
  <w:num w:numId="8" w16cid:durableId="42752758">
    <w:abstractNumId w:val="33"/>
  </w:num>
  <w:num w:numId="9" w16cid:durableId="2106270057">
    <w:abstractNumId w:val="55"/>
  </w:num>
  <w:num w:numId="10" w16cid:durableId="1735423024">
    <w:abstractNumId w:val="9"/>
  </w:num>
  <w:num w:numId="11" w16cid:durableId="1621376816">
    <w:abstractNumId w:val="52"/>
  </w:num>
  <w:num w:numId="12" w16cid:durableId="1139960032">
    <w:abstractNumId w:val="45"/>
  </w:num>
  <w:num w:numId="13" w16cid:durableId="54829905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17504469">
    <w:abstractNumId w:val="51"/>
  </w:num>
  <w:num w:numId="15" w16cid:durableId="1058434326">
    <w:abstractNumId w:val="82"/>
  </w:num>
  <w:num w:numId="16" w16cid:durableId="1436709158">
    <w:abstractNumId w:val="44"/>
  </w:num>
  <w:num w:numId="17" w16cid:durableId="1841962838">
    <w:abstractNumId w:val="37"/>
  </w:num>
  <w:num w:numId="18" w16cid:durableId="1298410092">
    <w:abstractNumId w:val="14"/>
  </w:num>
  <w:num w:numId="19" w16cid:durableId="68164580">
    <w:abstractNumId w:val="64"/>
  </w:num>
  <w:num w:numId="20" w16cid:durableId="917010067">
    <w:abstractNumId w:val="72"/>
  </w:num>
  <w:num w:numId="21" w16cid:durableId="607277605">
    <w:abstractNumId w:val="21"/>
  </w:num>
  <w:num w:numId="22" w16cid:durableId="1993098360">
    <w:abstractNumId w:val="92"/>
  </w:num>
  <w:num w:numId="23" w16cid:durableId="217788783">
    <w:abstractNumId w:val="84"/>
  </w:num>
  <w:num w:numId="24" w16cid:durableId="999968831">
    <w:abstractNumId w:val="38"/>
  </w:num>
  <w:num w:numId="25" w16cid:durableId="2058233879">
    <w:abstractNumId w:val="81"/>
  </w:num>
  <w:num w:numId="26" w16cid:durableId="174347072">
    <w:abstractNumId w:val="56"/>
  </w:num>
  <w:num w:numId="27" w16cid:durableId="408965280">
    <w:abstractNumId w:val="74"/>
  </w:num>
  <w:num w:numId="28" w16cid:durableId="1386873627">
    <w:abstractNumId w:val="83"/>
  </w:num>
  <w:num w:numId="29" w16cid:durableId="307171100">
    <w:abstractNumId w:val="23"/>
  </w:num>
  <w:num w:numId="30" w16cid:durableId="90397345">
    <w:abstractNumId w:val="89"/>
  </w:num>
  <w:num w:numId="31" w16cid:durableId="487748253">
    <w:abstractNumId w:val="96"/>
  </w:num>
  <w:num w:numId="32" w16cid:durableId="1927686106">
    <w:abstractNumId w:val="29"/>
  </w:num>
  <w:num w:numId="33" w16cid:durableId="311252862">
    <w:abstractNumId w:val="78"/>
  </w:num>
  <w:num w:numId="34" w16cid:durableId="883250625">
    <w:abstractNumId w:val="66"/>
  </w:num>
  <w:num w:numId="35" w16cid:durableId="254482618">
    <w:abstractNumId w:val="57"/>
  </w:num>
  <w:num w:numId="36" w16cid:durableId="1825394540">
    <w:abstractNumId w:val="90"/>
  </w:num>
  <w:num w:numId="37" w16cid:durableId="1749575683">
    <w:abstractNumId w:val="8"/>
  </w:num>
  <w:num w:numId="38" w16cid:durableId="790321079">
    <w:abstractNumId w:val="93"/>
  </w:num>
  <w:num w:numId="39" w16cid:durableId="1636330981">
    <w:abstractNumId w:val="11"/>
  </w:num>
  <w:num w:numId="40" w16cid:durableId="264072932">
    <w:abstractNumId w:val="77"/>
  </w:num>
  <w:num w:numId="41" w16cid:durableId="972639307">
    <w:abstractNumId w:val="68"/>
  </w:num>
  <w:num w:numId="42" w16cid:durableId="1416902697">
    <w:abstractNumId w:val="62"/>
  </w:num>
  <w:num w:numId="43" w16cid:durableId="217984027">
    <w:abstractNumId w:val="79"/>
  </w:num>
  <w:num w:numId="44" w16cid:durableId="973219494">
    <w:abstractNumId w:val="41"/>
  </w:num>
  <w:num w:numId="45" w16cid:durableId="179205413">
    <w:abstractNumId w:val="95"/>
  </w:num>
  <w:num w:numId="46" w16cid:durableId="1698235131">
    <w:abstractNumId w:val="15"/>
  </w:num>
  <w:num w:numId="47" w16cid:durableId="1028260457">
    <w:abstractNumId w:val="75"/>
  </w:num>
  <w:num w:numId="48" w16cid:durableId="2107731128">
    <w:abstractNumId w:val="91"/>
  </w:num>
  <w:num w:numId="49" w16cid:durableId="1134523870">
    <w:abstractNumId w:val="25"/>
  </w:num>
  <w:num w:numId="50" w16cid:durableId="1781416307">
    <w:abstractNumId w:val="16"/>
  </w:num>
  <w:num w:numId="51" w16cid:durableId="374240180">
    <w:abstractNumId w:val="40"/>
  </w:num>
  <w:num w:numId="52" w16cid:durableId="694120087">
    <w:abstractNumId w:val="53"/>
  </w:num>
  <w:num w:numId="53" w16cid:durableId="110442483">
    <w:abstractNumId w:val="85"/>
  </w:num>
  <w:num w:numId="54" w16cid:durableId="488251310">
    <w:abstractNumId w:val="80"/>
  </w:num>
  <w:num w:numId="55" w16cid:durableId="1033966368">
    <w:abstractNumId w:val="22"/>
  </w:num>
  <w:num w:numId="56" w16cid:durableId="650333380">
    <w:abstractNumId w:val="35"/>
  </w:num>
  <w:num w:numId="57" w16cid:durableId="1864398212">
    <w:abstractNumId w:val="36"/>
  </w:num>
  <w:num w:numId="58" w16cid:durableId="216743061">
    <w:abstractNumId w:val="43"/>
  </w:num>
  <w:num w:numId="59" w16cid:durableId="614600245">
    <w:abstractNumId w:val="94"/>
  </w:num>
  <w:num w:numId="60" w16cid:durableId="1884978817">
    <w:abstractNumId w:val="69"/>
  </w:num>
  <w:num w:numId="61" w16cid:durableId="1699356393">
    <w:abstractNumId w:val="12"/>
  </w:num>
  <w:num w:numId="62" w16cid:durableId="1718583108">
    <w:abstractNumId w:val="87"/>
  </w:num>
  <w:num w:numId="63" w16cid:durableId="1447197702">
    <w:abstractNumId w:val="54"/>
  </w:num>
  <w:num w:numId="64" w16cid:durableId="792865223">
    <w:abstractNumId w:val="17"/>
  </w:num>
  <w:num w:numId="65" w16cid:durableId="1715421616">
    <w:abstractNumId w:val="34"/>
  </w:num>
  <w:num w:numId="66" w16cid:durableId="1674839643">
    <w:abstractNumId w:val="47"/>
  </w:num>
  <w:num w:numId="67" w16cid:durableId="2105834280">
    <w:abstractNumId w:val="27"/>
  </w:num>
  <w:num w:numId="68" w16cid:durableId="960495768">
    <w:abstractNumId w:val="86"/>
  </w:num>
  <w:num w:numId="69" w16cid:durableId="500237808">
    <w:abstractNumId w:val="59"/>
  </w:num>
  <w:num w:numId="70" w16cid:durableId="666350">
    <w:abstractNumId w:val="26"/>
  </w:num>
  <w:num w:numId="71" w16cid:durableId="1618102365">
    <w:abstractNumId w:val="97"/>
  </w:num>
  <w:num w:numId="72" w16cid:durableId="206571877">
    <w:abstractNumId w:val="10"/>
  </w:num>
  <w:num w:numId="73" w16cid:durableId="554894056">
    <w:abstractNumId w:val="71"/>
  </w:num>
  <w:num w:numId="74" w16cid:durableId="808936725">
    <w:abstractNumId w:val="32"/>
  </w:num>
  <w:num w:numId="75" w16cid:durableId="1806505072">
    <w:abstractNumId w:val="24"/>
  </w:num>
  <w:num w:numId="76" w16cid:durableId="1944191688">
    <w:abstractNumId w:val="70"/>
  </w:num>
  <w:num w:numId="77" w16cid:durableId="517349620">
    <w:abstractNumId w:val="18"/>
  </w:num>
  <w:num w:numId="78" w16cid:durableId="1922249359">
    <w:abstractNumId w:val="60"/>
  </w:num>
  <w:num w:numId="79" w16cid:durableId="1256404057">
    <w:abstractNumId w:val="20"/>
  </w:num>
  <w:num w:numId="80" w16cid:durableId="841814925">
    <w:abstractNumId w:val="73"/>
  </w:num>
  <w:num w:numId="81" w16cid:durableId="1937253149">
    <w:abstractNumId w:val="63"/>
  </w:num>
  <w:num w:numId="82" w16cid:durableId="1203903986">
    <w:abstractNumId w:val="31"/>
  </w:num>
  <w:num w:numId="83" w16cid:durableId="1686635632">
    <w:abstractNumId w:val="67"/>
  </w:num>
  <w:num w:numId="84" w16cid:durableId="1868634712">
    <w:abstractNumId w:val="88"/>
  </w:num>
  <w:num w:numId="85" w16cid:durableId="1870605640">
    <w:abstractNumId w:val="50"/>
  </w:num>
  <w:num w:numId="86" w16cid:durableId="158422017">
    <w:abstractNumId w:val="42"/>
  </w:num>
  <w:num w:numId="87" w16cid:durableId="914242972">
    <w:abstractNumId w:val="65"/>
  </w:num>
  <w:num w:numId="88" w16cid:durableId="1839032561">
    <w:abstractNumId w:val="30"/>
  </w:num>
  <w:num w:numId="89" w16cid:durableId="605620568">
    <w:abstractNumId w:val="98"/>
  </w:num>
  <w:num w:numId="90" w16cid:durableId="590699926">
    <w:abstractNumId w:val="13"/>
  </w:num>
  <w:num w:numId="91" w16cid:durableId="870072682">
    <w:abstractNumId w:val="28"/>
  </w:num>
  <w:num w:numId="92" w16cid:durableId="491025266">
    <w:abstractNumId w:val="46"/>
  </w:num>
  <w:num w:numId="93" w16cid:durableId="1794324746">
    <w:abstractNumId w:val="39"/>
  </w:num>
  <w:num w:numId="94" w16cid:durableId="610170384">
    <w:abstractNumId w:val="5"/>
  </w:num>
  <w:num w:numId="95" w16cid:durableId="1786534769">
    <w:abstractNumId w:val="4"/>
  </w:num>
  <w:num w:numId="96" w16cid:durableId="71660253">
    <w:abstractNumId w:val="7"/>
  </w:num>
  <w:num w:numId="97" w16cid:durableId="836313218">
    <w:abstractNumId w:val="3"/>
  </w:num>
  <w:num w:numId="98" w16cid:durableId="663244453">
    <w:abstractNumId w:val="2"/>
  </w:num>
  <w:num w:numId="99" w16cid:durableId="917717065">
    <w:abstractNumId w:val="1"/>
  </w:num>
  <w:num w:numId="100" w16cid:durableId="553859093">
    <w:abstractNumId w:val="0"/>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TA1MzMzMjayMDSxMDZQ0lEKTi0uzszPAykwrQUATqYpsCwAAAA="/>
  </w:docVars>
  <w:rsids>
    <w:rsidRoot w:val="00AF407C"/>
    <w:rsid w:val="00000390"/>
    <w:rsid w:val="000012FA"/>
    <w:rsid w:val="00003C92"/>
    <w:rsid w:val="00004327"/>
    <w:rsid w:val="00004B84"/>
    <w:rsid w:val="00005E39"/>
    <w:rsid w:val="00006336"/>
    <w:rsid w:val="0000781C"/>
    <w:rsid w:val="00010279"/>
    <w:rsid w:val="00010679"/>
    <w:rsid w:val="00011E22"/>
    <w:rsid w:val="0001280E"/>
    <w:rsid w:val="0001288B"/>
    <w:rsid w:val="00012D03"/>
    <w:rsid w:val="00012F05"/>
    <w:rsid w:val="0001378E"/>
    <w:rsid w:val="0001423B"/>
    <w:rsid w:val="000142BD"/>
    <w:rsid w:val="000155DB"/>
    <w:rsid w:val="00015DE6"/>
    <w:rsid w:val="00016608"/>
    <w:rsid w:val="00016ECB"/>
    <w:rsid w:val="0001721A"/>
    <w:rsid w:val="00017E2B"/>
    <w:rsid w:val="00020717"/>
    <w:rsid w:val="0002103C"/>
    <w:rsid w:val="000211DE"/>
    <w:rsid w:val="0002170B"/>
    <w:rsid w:val="00021B60"/>
    <w:rsid w:val="000220E1"/>
    <w:rsid w:val="000221EA"/>
    <w:rsid w:val="0002257B"/>
    <w:rsid w:val="00022FC2"/>
    <w:rsid w:val="000232A3"/>
    <w:rsid w:val="000238AC"/>
    <w:rsid w:val="000238D6"/>
    <w:rsid w:val="000246FE"/>
    <w:rsid w:val="00025264"/>
    <w:rsid w:val="000252D9"/>
    <w:rsid w:val="00025AB2"/>
    <w:rsid w:val="00025E35"/>
    <w:rsid w:val="00026982"/>
    <w:rsid w:val="000276C2"/>
    <w:rsid w:val="00027A2C"/>
    <w:rsid w:val="00027C8C"/>
    <w:rsid w:val="00030066"/>
    <w:rsid w:val="000320C2"/>
    <w:rsid w:val="00032908"/>
    <w:rsid w:val="00032D82"/>
    <w:rsid w:val="00033EAC"/>
    <w:rsid w:val="00034176"/>
    <w:rsid w:val="00034B6F"/>
    <w:rsid w:val="00034C19"/>
    <w:rsid w:val="000353E8"/>
    <w:rsid w:val="00035EC4"/>
    <w:rsid w:val="00035FF7"/>
    <w:rsid w:val="00036853"/>
    <w:rsid w:val="0003709B"/>
    <w:rsid w:val="0004017E"/>
    <w:rsid w:val="0004043E"/>
    <w:rsid w:val="000408DB"/>
    <w:rsid w:val="0004165D"/>
    <w:rsid w:val="00041BF5"/>
    <w:rsid w:val="00041CBD"/>
    <w:rsid w:val="000421CE"/>
    <w:rsid w:val="00043C88"/>
    <w:rsid w:val="00044463"/>
    <w:rsid w:val="000456A4"/>
    <w:rsid w:val="00045A99"/>
    <w:rsid w:val="00045AEC"/>
    <w:rsid w:val="00045E5B"/>
    <w:rsid w:val="00046962"/>
    <w:rsid w:val="00046F87"/>
    <w:rsid w:val="0005104F"/>
    <w:rsid w:val="00051471"/>
    <w:rsid w:val="00051CC4"/>
    <w:rsid w:val="00052B0C"/>
    <w:rsid w:val="00052C7B"/>
    <w:rsid w:val="00052C8E"/>
    <w:rsid w:val="00052D24"/>
    <w:rsid w:val="000538EE"/>
    <w:rsid w:val="00053ED6"/>
    <w:rsid w:val="00054053"/>
    <w:rsid w:val="000541D4"/>
    <w:rsid w:val="00056A46"/>
    <w:rsid w:val="0006014A"/>
    <w:rsid w:val="00060554"/>
    <w:rsid w:val="000605CA"/>
    <w:rsid w:val="000614C8"/>
    <w:rsid w:val="00061E1D"/>
    <w:rsid w:val="00062563"/>
    <w:rsid w:val="00063483"/>
    <w:rsid w:val="00063753"/>
    <w:rsid w:val="0006522A"/>
    <w:rsid w:val="000654DF"/>
    <w:rsid w:val="00065CCC"/>
    <w:rsid w:val="00065F2C"/>
    <w:rsid w:val="00065FB6"/>
    <w:rsid w:val="000666BC"/>
    <w:rsid w:val="00066DE6"/>
    <w:rsid w:val="00067910"/>
    <w:rsid w:val="00070A6F"/>
    <w:rsid w:val="00070AE9"/>
    <w:rsid w:val="000712EA"/>
    <w:rsid w:val="00071738"/>
    <w:rsid w:val="00071D43"/>
    <w:rsid w:val="00072410"/>
    <w:rsid w:val="00072867"/>
    <w:rsid w:val="0007294C"/>
    <w:rsid w:val="000729E9"/>
    <w:rsid w:val="0007437D"/>
    <w:rsid w:val="000750D6"/>
    <w:rsid w:val="000751AE"/>
    <w:rsid w:val="0007692E"/>
    <w:rsid w:val="0007693B"/>
    <w:rsid w:val="00076F3B"/>
    <w:rsid w:val="00077CEB"/>
    <w:rsid w:val="00077E1E"/>
    <w:rsid w:val="000806EB"/>
    <w:rsid w:val="00082314"/>
    <w:rsid w:val="00082BCE"/>
    <w:rsid w:val="00082F60"/>
    <w:rsid w:val="0008326F"/>
    <w:rsid w:val="000835BB"/>
    <w:rsid w:val="00083F13"/>
    <w:rsid w:val="00084322"/>
    <w:rsid w:val="00084707"/>
    <w:rsid w:val="0008486F"/>
    <w:rsid w:val="00084D08"/>
    <w:rsid w:val="00085059"/>
    <w:rsid w:val="00085D6F"/>
    <w:rsid w:val="000868D2"/>
    <w:rsid w:val="000871AD"/>
    <w:rsid w:val="00087C67"/>
    <w:rsid w:val="0009027F"/>
    <w:rsid w:val="00090819"/>
    <w:rsid w:val="00091D42"/>
    <w:rsid w:val="00093339"/>
    <w:rsid w:val="0009345D"/>
    <w:rsid w:val="00094C25"/>
    <w:rsid w:val="00094FD0"/>
    <w:rsid w:val="00095DD2"/>
    <w:rsid w:val="00097D13"/>
    <w:rsid w:val="000A0E91"/>
    <w:rsid w:val="000A0FA3"/>
    <w:rsid w:val="000A102E"/>
    <w:rsid w:val="000A19E8"/>
    <w:rsid w:val="000A2DED"/>
    <w:rsid w:val="000A2F0B"/>
    <w:rsid w:val="000A2FDA"/>
    <w:rsid w:val="000A326E"/>
    <w:rsid w:val="000A4171"/>
    <w:rsid w:val="000A444D"/>
    <w:rsid w:val="000A456D"/>
    <w:rsid w:val="000A48D4"/>
    <w:rsid w:val="000A5038"/>
    <w:rsid w:val="000A5367"/>
    <w:rsid w:val="000A5463"/>
    <w:rsid w:val="000A548A"/>
    <w:rsid w:val="000A5AE6"/>
    <w:rsid w:val="000A7A6C"/>
    <w:rsid w:val="000A7BA7"/>
    <w:rsid w:val="000A7ECD"/>
    <w:rsid w:val="000B1772"/>
    <w:rsid w:val="000B1C48"/>
    <w:rsid w:val="000B3086"/>
    <w:rsid w:val="000B3DAF"/>
    <w:rsid w:val="000B45FA"/>
    <w:rsid w:val="000B4A83"/>
    <w:rsid w:val="000B4C21"/>
    <w:rsid w:val="000B4D29"/>
    <w:rsid w:val="000B4DFC"/>
    <w:rsid w:val="000B566A"/>
    <w:rsid w:val="000B5E22"/>
    <w:rsid w:val="000B76AE"/>
    <w:rsid w:val="000B771D"/>
    <w:rsid w:val="000B7FDF"/>
    <w:rsid w:val="000C0812"/>
    <w:rsid w:val="000C16DE"/>
    <w:rsid w:val="000C1E91"/>
    <w:rsid w:val="000C22B9"/>
    <w:rsid w:val="000C2697"/>
    <w:rsid w:val="000C3D67"/>
    <w:rsid w:val="000C46D5"/>
    <w:rsid w:val="000C5103"/>
    <w:rsid w:val="000C594C"/>
    <w:rsid w:val="000C655F"/>
    <w:rsid w:val="000C6DFE"/>
    <w:rsid w:val="000C7B2E"/>
    <w:rsid w:val="000C7F7A"/>
    <w:rsid w:val="000D0290"/>
    <w:rsid w:val="000D041D"/>
    <w:rsid w:val="000D0BD4"/>
    <w:rsid w:val="000D14A8"/>
    <w:rsid w:val="000D1B38"/>
    <w:rsid w:val="000D1B4D"/>
    <w:rsid w:val="000D28B7"/>
    <w:rsid w:val="000D377D"/>
    <w:rsid w:val="000D3C1A"/>
    <w:rsid w:val="000D3FAF"/>
    <w:rsid w:val="000D40C6"/>
    <w:rsid w:val="000D4213"/>
    <w:rsid w:val="000D475E"/>
    <w:rsid w:val="000D54A5"/>
    <w:rsid w:val="000D572A"/>
    <w:rsid w:val="000D5CB7"/>
    <w:rsid w:val="000D5D9C"/>
    <w:rsid w:val="000D64EB"/>
    <w:rsid w:val="000D68D4"/>
    <w:rsid w:val="000D6EB0"/>
    <w:rsid w:val="000D740B"/>
    <w:rsid w:val="000D79B8"/>
    <w:rsid w:val="000E03FD"/>
    <w:rsid w:val="000E07A9"/>
    <w:rsid w:val="000E0BB2"/>
    <w:rsid w:val="000E1645"/>
    <w:rsid w:val="000E1706"/>
    <w:rsid w:val="000E25C6"/>
    <w:rsid w:val="000E26D0"/>
    <w:rsid w:val="000E3BE1"/>
    <w:rsid w:val="000E426C"/>
    <w:rsid w:val="000E47B5"/>
    <w:rsid w:val="000E4DF0"/>
    <w:rsid w:val="000E573E"/>
    <w:rsid w:val="000E5E4C"/>
    <w:rsid w:val="000E6DBC"/>
    <w:rsid w:val="000E75D9"/>
    <w:rsid w:val="000F01A8"/>
    <w:rsid w:val="000F01CF"/>
    <w:rsid w:val="000F1421"/>
    <w:rsid w:val="000F1A44"/>
    <w:rsid w:val="000F244D"/>
    <w:rsid w:val="000F2B2C"/>
    <w:rsid w:val="000F36CA"/>
    <w:rsid w:val="000F372F"/>
    <w:rsid w:val="000F3981"/>
    <w:rsid w:val="000F3A30"/>
    <w:rsid w:val="000F3CF4"/>
    <w:rsid w:val="000F5158"/>
    <w:rsid w:val="000F5B41"/>
    <w:rsid w:val="000F5C4B"/>
    <w:rsid w:val="000F5EAB"/>
    <w:rsid w:val="000F5FAD"/>
    <w:rsid w:val="000F6412"/>
    <w:rsid w:val="000F68CD"/>
    <w:rsid w:val="000F6B59"/>
    <w:rsid w:val="000F75EA"/>
    <w:rsid w:val="000F7EC1"/>
    <w:rsid w:val="001015A8"/>
    <w:rsid w:val="001021A7"/>
    <w:rsid w:val="00103100"/>
    <w:rsid w:val="00103334"/>
    <w:rsid w:val="00104054"/>
    <w:rsid w:val="0010445F"/>
    <w:rsid w:val="00104A5E"/>
    <w:rsid w:val="00104EE4"/>
    <w:rsid w:val="001053EF"/>
    <w:rsid w:val="0010653C"/>
    <w:rsid w:val="00107535"/>
    <w:rsid w:val="00107C58"/>
    <w:rsid w:val="00107EBF"/>
    <w:rsid w:val="00110841"/>
    <w:rsid w:val="00112348"/>
    <w:rsid w:val="00112785"/>
    <w:rsid w:val="00113453"/>
    <w:rsid w:val="0011361F"/>
    <w:rsid w:val="00113AE5"/>
    <w:rsid w:val="00113D09"/>
    <w:rsid w:val="00113D6E"/>
    <w:rsid w:val="00113E0A"/>
    <w:rsid w:val="00114328"/>
    <w:rsid w:val="001146C2"/>
    <w:rsid w:val="0011496F"/>
    <w:rsid w:val="00115CFC"/>
    <w:rsid w:val="00115F91"/>
    <w:rsid w:val="0011643B"/>
    <w:rsid w:val="001166D1"/>
    <w:rsid w:val="0011670C"/>
    <w:rsid w:val="0011673C"/>
    <w:rsid w:val="0011682B"/>
    <w:rsid w:val="001168D6"/>
    <w:rsid w:val="00116AE8"/>
    <w:rsid w:val="00117EC0"/>
    <w:rsid w:val="00117ED8"/>
    <w:rsid w:val="00120229"/>
    <w:rsid w:val="00120E80"/>
    <w:rsid w:val="001211F5"/>
    <w:rsid w:val="00122104"/>
    <w:rsid w:val="0012223E"/>
    <w:rsid w:val="001224E0"/>
    <w:rsid w:val="00122AF0"/>
    <w:rsid w:val="00123AA3"/>
    <w:rsid w:val="00123D4D"/>
    <w:rsid w:val="00124FD4"/>
    <w:rsid w:val="001257BA"/>
    <w:rsid w:val="00125A66"/>
    <w:rsid w:val="00126B77"/>
    <w:rsid w:val="00131506"/>
    <w:rsid w:val="00131ACE"/>
    <w:rsid w:val="00131FC2"/>
    <w:rsid w:val="0013229B"/>
    <w:rsid w:val="001324F8"/>
    <w:rsid w:val="001327A3"/>
    <w:rsid w:val="001327C2"/>
    <w:rsid w:val="001335E6"/>
    <w:rsid w:val="00133823"/>
    <w:rsid w:val="0013418E"/>
    <w:rsid w:val="001346AC"/>
    <w:rsid w:val="00134F33"/>
    <w:rsid w:val="00135632"/>
    <w:rsid w:val="00135AEB"/>
    <w:rsid w:val="00135F57"/>
    <w:rsid w:val="00136048"/>
    <w:rsid w:val="001409AE"/>
    <w:rsid w:val="00140ABC"/>
    <w:rsid w:val="00140CF0"/>
    <w:rsid w:val="00140DA3"/>
    <w:rsid w:val="0014123C"/>
    <w:rsid w:val="00141277"/>
    <w:rsid w:val="0014322B"/>
    <w:rsid w:val="00143AFE"/>
    <w:rsid w:val="0014410E"/>
    <w:rsid w:val="001441B9"/>
    <w:rsid w:val="00144253"/>
    <w:rsid w:val="0014445A"/>
    <w:rsid w:val="00144918"/>
    <w:rsid w:val="0014497D"/>
    <w:rsid w:val="00144BD1"/>
    <w:rsid w:val="001457B2"/>
    <w:rsid w:val="00145EAE"/>
    <w:rsid w:val="001461ED"/>
    <w:rsid w:val="0014653B"/>
    <w:rsid w:val="00146981"/>
    <w:rsid w:val="00150615"/>
    <w:rsid w:val="00150DB7"/>
    <w:rsid w:val="00151CD9"/>
    <w:rsid w:val="00151DFB"/>
    <w:rsid w:val="001520F2"/>
    <w:rsid w:val="00153359"/>
    <w:rsid w:val="00153CA3"/>
    <w:rsid w:val="00154A1C"/>
    <w:rsid w:val="00154C04"/>
    <w:rsid w:val="001552AC"/>
    <w:rsid w:val="00155BDA"/>
    <w:rsid w:val="001564D5"/>
    <w:rsid w:val="001573A6"/>
    <w:rsid w:val="0015762F"/>
    <w:rsid w:val="00157CDB"/>
    <w:rsid w:val="001633FF"/>
    <w:rsid w:val="00163F09"/>
    <w:rsid w:val="00164E17"/>
    <w:rsid w:val="001654FE"/>
    <w:rsid w:val="001655BF"/>
    <w:rsid w:val="00165B25"/>
    <w:rsid w:val="00166ADC"/>
    <w:rsid w:val="00166C1F"/>
    <w:rsid w:val="00166D5F"/>
    <w:rsid w:val="00166EBE"/>
    <w:rsid w:val="00171BC5"/>
    <w:rsid w:val="00172D97"/>
    <w:rsid w:val="0017358E"/>
    <w:rsid w:val="00173FCE"/>
    <w:rsid w:val="00174725"/>
    <w:rsid w:val="00174F85"/>
    <w:rsid w:val="001753AE"/>
    <w:rsid w:val="00175B27"/>
    <w:rsid w:val="001766BC"/>
    <w:rsid w:val="001766C2"/>
    <w:rsid w:val="00176A6C"/>
    <w:rsid w:val="00177502"/>
    <w:rsid w:val="00177FB1"/>
    <w:rsid w:val="00180307"/>
    <w:rsid w:val="00180834"/>
    <w:rsid w:val="00180C4B"/>
    <w:rsid w:val="00181F90"/>
    <w:rsid w:val="0018256A"/>
    <w:rsid w:val="00182847"/>
    <w:rsid w:val="00184ABF"/>
    <w:rsid w:val="00184F1A"/>
    <w:rsid w:val="00185319"/>
    <w:rsid w:val="001854B2"/>
    <w:rsid w:val="001869DE"/>
    <w:rsid w:val="0018745E"/>
    <w:rsid w:val="0019024B"/>
    <w:rsid w:val="00190CD6"/>
    <w:rsid w:val="00193008"/>
    <w:rsid w:val="00193419"/>
    <w:rsid w:val="00193705"/>
    <w:rsid w:val="00193CB5"/>
    <w:rsid w:val="001949E6"/>
    <w:rsid w:val="0019558A"/>
    <w:rsid w:val="001958F2"/>
    <w:rsid w:val="00196BE5"/>
    <w:rsid w:val="001A0541"/>
    <w:rsid w:val="001A0834"/>
    <w:rsid w:val="001A0F99"/>
    <w:rsid w:val="001A17AF"/>
    <w:rsid w:val="001A1BED"/>
    <w:rsid w:val="001A1C05"/>
    <w:rsid w:val="001A25D4"/>
    <w:rsid w:val="001A3A59"/>
    <w:rsid w:val="001A457D"/>
    <w:rsid w:val="001A45A2"/>
    <w:rsid w:val="001A45BA"/>
    <w:rsid w:val="001A4E79"/>
    <w:rsid w:val="001A558E"/>
    <w:rsid w:val="001A5DA5"/>
    <w:rsid w:val="001A6DE8"/>
    <w:rsid w:val="001A70FE"/>
    <w:rsid w:val="001A7CD2"/>
    <w:rsid w:val="001A7F7F"/>
    <w:rsid w:val="001B1245"/>
    <w:rsid w:val="001B1929"/>
    <w:rsid w:val="001B1CF6"/>
    <w:rsid w:val="001B1DB5"/>
    <w:rsid w:val="001B1F70"/>
    <w:rsid w:val="001B4595"/>
    <w:rsid w:val="001B59BA"/>
    <w:rsid w:val="001B5B8A"/>
    <w:rsid w:val="001B6575"/>
    <w:rsid w:val="001B6B1A"/>
    <w:rsid w:val="001B78DD"/>
    <w:rsid w:val="001C0452"/>
    <w:rsid w:val="001C1331"/>
    <w:rsid w:val="001C13E2"/>
    <w:rsid w:val="001C226D"/>
    <w:rsid w:val="001C2532"/>
    <w:rsid w:val="001C3F96"/>
    <w:rsid w:val="001C467D"/>
    <w:rsid w:val="001C4686"/>
    <w:rsid w:val="001C65DA"/>
    <w:rsid w:val="001C7033"/>
    <w:rsid w:val="001C74F4"/>
    <w:rsid w:val="001C7C40"/>
    <w:rsid w:val="001D129C"/>
    <w:rsid w:val="001D1BCA"/>
    <w:rsid w:val="001D2667"/>
    <w:rsid w:val="001D2961"/>
    <w:rsid w:val="001D2E60"/>
    <w:rsid w:val="001D3788"/>
    <w:rsid w:val="001D48C0"/>
    <w:rsid w:val="001D5722"/>
    <w:rsid w:val="001D5B7B"/>
    <w:rsid w:val="001D5F33"/>
    <w:rsid w:val="001D6315"/>
    <w:rsid w:val="001D6451"/>
    <w:rsid w:val="001D65CB"/>
    <w:rsid w:val="001D7109"/>
    <w:rsid w:val="001D7348"/>
    <w:rsid w:val="001D7506"/>
    <w:rsid w:val="001D7654"/>
    <w:rsid w:val="001E2218"/>
    <w:rsid w:val="001E2846"/>
    <w:rsid w:val="001E4143"/>
    <w:rsid w:val="001E41BF"/>
    <w:rsid w:val="001E5FD7"/>
    <w:rsid w:val="001F002B"/>
    <w:rsid w:val="001F10C7"/>
    <w:rsid w:val="001F1948"/>
    <w:rsid w:val="001F196F"/>
    <w:rsid w:val="001F1C2D"/>
    <w:rsid w:val="001F1FBC"/>
    <w:rsid w:val="001F204B"/>
    <w:rsid w:val="001F27E0"/>
    <w:rsid w:val="001F2873"/>
    <w:rsid w:val="001F2FD2"/>
    <w:rsid w:val="001F312F"/>
    <w:rsid w:val="001F31D2"/>
    <w:rsid w:val="001F32EB"/>
    <w:rsid w:val="001F3316"/>
    <w:rsid w:val="001F3660"/>
    <w:rsid w:val="001F45FD"/>
    <w:rsid w:val="001F51C9"/>
    <w:rsid w:val="001F5E0E"/>
    <w:rsid w:val="001F645C"/>
    <w:rsid w:val="001F692F"/>
    <w:rsid w:val="001F7331"/>
    <w:rsid w:val="001F7749"/>
    <w:rsid w:val="00201269"/>
    <w:rsid w:val="00201299"/>
    <w:rsid w:val="002014DB"/>
    <w:rsid w:val="00201D64"/>
    <w:rsid w:val="00201ED2"/>
    <w:rsid w:val="002021DD"/>
    <w:rsid w:val="002030B8"/>
    <w:rsid w:val="002031EF"/>
    <w:rsid w:val="002036AA"/>
    <w:rsid w:val="00203905"/>
    <w:rsid w:val="00203F4E"/>
    <w:rsid w:val="00204760"/>
    <w:rsid w:val="00205814"/>
    <w:rsid w:val="002104A6"/>
    <w:rsid w:val="0021232E"/>
    <w:rsid w:val="0021240C"/>
    <w:rsid w:val="002125A8"/>
    <w:rsid w:val="002132B3"/>
    <w:rsid w:val="002144D8"/>
    <w:rsid w:val="0021569D"/>
    <w:rsid w:val="00215FEE"/>
    <w:rsid w:val="002171CD"/>
    <w:rsid w:val="00217808"/>
    <w:rsid w:val="00220A50"/>
    <w:rsid w:val="00220AEF"/>
    <w:rsid w:val="00220FC9"/>
    <w:rsid w:val="00221E39"/>
    <w:rsid w:val="00222A14"/>
    <w:rsid w:val="00222CCD"/>
    <w:rsid w:val="00222FF1"/>
    <w:rsid w:val="002242F3"/>
    <w:rsid w:val="00224BB5"/>
    <w:rsid w:val="00224C5B"/>
    <w:rsid w:val="00225D7F"/>
    <w:rsid w:val="00226FEE"/>
    <w:rsid w:val="00227C13"/>
    <w:rsid w:val="00227E4C"/>
    <w:rsid w:val="0023064D"/>
    <w:rsid w:val="00230AD7"/>
    <w:rsid w:val="00230EFB"/>
    <w:rsid w:val="00232164"/>
    <w:rsid w:val="00233595"/>
    <w:rsid w:val="00233912"/>
    <w:rsid w:val="00233971"/>
    <w:rsid w:val="00234F64"/>
    <w:rsid w:val="002360E5"/>
    <w:rsid w:val="00236424"/>
    <w:rsid w:val="002366F2"/>
    <w:rsid w:val="00237698"/>
    <w:rsid w:val="00240C61"/>
    <w:rsid w:val="00241216"/>
    <w:rsid w:val="002420E7"/>
    <w:rsid w:val="00242823"/>
    <w:rsid w:val="00243AD8"/>
    <w:rsid w:val="002456F2"/>
    <w:rsid w:val="002474A2"/>
    <w:rsid w:val="00250048"/>
    <w:rsid w:val="00250B57"/>
    <w:rsid w:val="00250C4F"/>
    <w:rsid w:val="00250F4B"/>
    <w:rsid w:val="002513F3"/>
    <w:rsid w:val="002516FE"/>
    <w:rsid w:val="00253EF3"/>
    <w:rsid w:val="002540A7"/>
    <w:rsid w:val="002544AF"/>
    <w:rsid w:val="002544C4"/>
    <w:rsid w:val="00254804"/>
    <w:rsid w:val="00254FB7"/>
    <w:rsid w:val="0025568C"/>
    <w:rsid w:val="0025715F"/>
    <w:rsid w:val="00257844"/>
    <w:rsid w:val="0026029F"/>
    <w:rsid w:val="002619EF"/>
    <w:rsid w:val="00261A45"/>
    <w:rsid w:val="00261CED"/>
    <w:rsid w:val="0026282E"/>
    <w:rsid w:val="00262918"/>
    <w:rsid w:val="00263027"/>
    <w:rsid w:val="002635ED"/>
    <w:rsid w:val="0026393A"/>
    <w:rsid w:val="002643FD"/>
    <w:rsid w:val="0026492C"/>
    <w:rsid w:val="0026562F"/>
    <w:rsid w:val="00265738"/>
    <w:rsid w:val="00265D95"/>
    <w:rsid w:val="002660CB"/>
    <w:rsid w:val="002661F0"/>
    <w:rsid w:val="00267154"/>
    <w:rsid w:val="00270B33"/>
    <w:rsid w:val="00271BC5"/>
    <w:rsid w:val="00272CA3"/>
    <w:rsid w:val="0027403F"/>
    <w:rsid w:val="00274098"/>
    <w:rsid w:val="002741D9"/>
    <w:rsid w:val="00274D75"/>
    <w:rsid w:val="00274FC1"/>
    <w:rsid w:val="002752E9"/>
    <w:rsid w:val="0027574F"/>
    <w:rsid w:val="0027577D"/>
    <w:rsid w:val="00275FD4"/>
    <w:rsid w:val="00276A0D"/>
    <w:rsid w:val="00277581"/>
    <w:rsid w:val="002776E7"/>
    <w:rsid w:val="00277C7A"/>
    <w:rsid w:val="00280588"/>
    <w:rsid w:val="002805A7"/>
    <w:rsid w:val="00280669"/>
    <w:rsid w:val="00280BAA"/>
    <w:rsid w:val="00280E44"/>
    <w:rsid w:val="002812E6"/>
    <w:rsid w:val="002833DF"/>
    <w:rsid w:val="00285286"/>
    <w:rsid w:val="002860A1"/>
    <w:rsid w:val="00286560"/>
    <w:rsid w:val="0028699E"/>
    <w:rsid w:val="00286E25"/>
    <w:rsid w:val="00286F8A"/>
    <w:rsid w:val="00287657"/>
    <w:rsid w:val="0028797D"/>
    <w:rsid w:val="002907BD"/>
    <w:rsid w:val="00290AA2"/>
    <w:rsid w:val="00290CE2"/>
    <w:rsid w:val="00290DD4"/>
    <w:rsid w:val="002915A3"/>
    <w:rsid w:val="00293CFB"/>
    <w:rsid w:val="002944C0"/>
    <w:rsid w:val="00296054"/>
    <w:rsid w:val="002963E4"/>
    <w:rsid w:val="00296820"/>
    <w:rsid w:val="00296A3C"/>
    <w:rsid w:val="00297208"/>
    <w:rsid w:val="00297313"/>
    <w:rsid w:val="002A0E1A"/>
    <w:rsid w:val="002A2486"/>
    <w:rsid w:val="002A24ED"/>
    <w:rsid w:val="002A3294"/>
    <w:rsid w:val="002A400D"/>
    <w:rsid w:val="002A5013"/>
    <w:rsid w:val="002A553E"/>
    <w:rsid w:val="002A702A"/>
    <w:rsid w:val="002B0BB3"/>
    <w:rsid w:val="002B0D86"/>
    <w:rsid w:val="002B0DD0"/>
    <w:rsid w:val="002B1276"/>
    <w:rsid w:val="002B2544"/>
    <w:rsid w:val="002B2950"/>
    <w:rsid w:val="002B2B57"/>
    <w:rsid w:val="002B518F"/>
    <w:rsid w:val="002B7DDC"/>
    <w:rsid w:val="002C053A"/>
    <w:rsid w:val="002C065C"/>
    <w:rsid w:val="002C159F"/>
    <w:rsid w:val="002C1E5C"/>
    <w:rsid w:val="002C2386"/>
    <w:rsid w:val="002C25E7"/>
    <w:rsid w:val="002C280F"/>
    <w:rsid w:val="002C32D1"/>
    <w:rsid w:val="002C385F"/>
    <w:rsid w:val="002C3AB6"/>
    <w:rsid w:val="002C40A6"/>
    <w:rsid w:val="002C4215"/>
    <w:rsid w:val="002C49EA"/>
    <w:rsid w:val="002C4A02"/>
    <w:rsid w:val="002C4C82"/>
    <w:rsid w:val="002C4F55"/>
    <w:rsid w:val="002C5DFC"/>
    <w:rsid w:val="002C64A3"/>
    <w:rsid w:val="002C6C7E"/>
    <w:rsid w:val="002C7928"/>
    <w:rsid w:val="002C7986"/>
    <w:rsid w:val="002C7D14"/>
    <w:rsid w:val="002C7E08"/>
    <w:rsid w:val="002D229B"/>
    <w:rsid w:val="002D28A7"/>
    <w:rsid w:val="002D3305"/>
    <w:rsid w:val="002D3486"/>
    <w:rsid w:val="002D3E4C"/>
    <w:rsid w:val="002D42D9"/>
    <w:rsid w:val="002D4E22"/>
    <w:rsid w:val="002D52C9"/>
    <w:rsid w:val="002D6630"/>
    <w:rsid w:val="002D73B4"/>
    <w:rsid w:val="002D7CED"/>
    <w:rsid w:val="002E0409"/>
    <w:rsid w:val="002E110F"/>
    <w:rsid w:val="002E1789"/>
    <w:rsid w:val="002E23E5"/>
    <w:rsid w:val="002E2C27"/>
    <w:rsid w:val="002E3498"/>
    <w:rsid w:val="002E3CC8"/>
    <w:rsid w:val="002E3F5E"/>
    <w:rsid w:val="002E4F67"/>
    <w:rsid w:val="002E5EF2"/>
    <w:rsid w:val="002E6036"/>
    <w:rsid w:val="002E7001"/>
    <w:rsid w:val="002E72EC"/>
    <w:rsid w:val="002F0339"/>
    <w:rsid w:val="002F0B10"/>
    <w:rsid w:val="002F0D77"/>
    <w:rsid w:val="002F163D"/>
    <w:rsid w:val="002F24D2"/>
    <w:rsid w:val="002F259C"/>
    <w:rsid w:val="002F2C7F"/>
    <w:rsid w:val="002F44C7"/>
    <w:rsid w:val="002F50F0"/>
    <w:rsid w:val="002F5716"/>
    <w:rsid w:val="002F6592"/>
    <w:rsid w:val="002F6E6D"/>
    <w:rsid w:val="00301377"/>
    <w:rsid w:val="00301824"/>
    <w:rsid w:val="00304A1E"/>
    <w:rsid w:val="00304B1C"/>
    <w:rsid w:val="00304EF8"/>
    <w:rsid w:val="00304FE7"/>
    <w:rsid w:val="003058F5"/>
    <w:rsid w:val="0030591A"/>
    <w:rsid w:val="00305D4D"/>
    <w:rsid w:val="00306711"/>
    <w:rsid w:val="00306AAE"/>
    <w:rsid w:val="00306E1D"/>
    <w:rsid w:val="003072BF"/>
    <w:rsid w:val="00307C86"/>
    <w:rsid w:val="00307DC3"/>
    <w:rsid w:val="003101FC"/>
    <w:rsid w:val="003103B4"/>
    <w:rsid w:val="003108F4"/>
    <w:rsid w:val="0031113A"/>
    <w:rsid w:val="003115A9"/>
    <w:rsid w:val="00311914"/>
    <w:rsid w:val="00312533"/>
    <w:rsid w:val="0031260F"/>
    <w:rsid w:val="00312929"/>
    <w:rsid w:val="00313FCF"/>
    <w:rsid w:val="00316BAC"/>
    <w:rsid w:val="00316E24"/>
    <w:rsid w:val="003206E8"/>
    <w:rsid w:val="00321096"/>
    <w:rsid w:val="0032158E"/>
    <w:rsid w:val="00321BD7"/>
    <w:rsid w:val="00322413"/>
    <w:rsid w:val="00322711"/>
    <w:rsid w:val="00322C0D"/>
    <w:rsid w:val="003231A6"/>
    <w:rsid w:val="00323443"/>
    <w:rsid w:val="003234FD"/>
    <w:rsid w:val="00323C13"/>
    <w:rsid w:val="003252DA"/>
    <w:rsid w:val="00326432"/>
    <w:rsid w:val="00326864"/>
    <w:rsid w:val="003268EA"/>
    <w:rsid w:val="0032698D"/>
    <w:rsid w:val="00327D16"/>
    <w:rsid w:val="003306BD"/>
    <w:rsid w:val="00331080"/>
    <w:rsid w:val="00331692"/>
    <w:rsid w:val="00331CFB"/>
    <w:rsid w:val="00332068"/>
    <w:rsid w:val="00332CD2"/>
    <w:rsid w:val="00332F5F"/>
    <w:rsid w:val="0033350C"/>
    <w:rsid w:val="00333698"/>
    <w:rsid w:val="00333B63"/>
    <w:rsid w:val="00333EDA"/>
    <w:rsid w:val="003342AE"/>
    <w:rsid w:val="00335518"/>
    <w:rsid w:val="003357D9"/>
    <w:rsid w:val="00336AEB"/>
    <w:rsid w:val="00336F40"/>
    <w:rsid w:val="003374BF"/>
    <w:rsid w:val="00337A2D"/>
    <w:rsid w:val="00337FB3"/>
    <w:rsid w:val="00340D0D"/>
    <w:rsid w:val="00341D2B"/>
    <w:rsid w:val="003457A6"/>
    <w:rsid w:val="0034626F"/>
    <w:rsid w:val="00346A1B"/>
    <w:rsid w:val="00346C32"/>
    <w:rsid w:val="00350123"/>
    <w:rsid w:val="0035029D"/>
    <w:rsid w:val="00350A0B"/>
    <w:rsid w:val="00350FBF"/>
    <w:rsid w:val="003519F1"/>
    <w:rsid w:val="00352C42"/>
    <w:rsid w:val="00352DD6"/>
    <w:rsid w:val="00353092"/>
    <w:rsid w:val="00353390"/>
    <w:rsid w:val="00353493"/>
    <w:rsid w:val="00353EC2"/>
    <w:rsid w:val="00353FB8"/>
    <w:rsid w:val="00354CAC"/>
    <w:rsid w:val="00355EF3"/>
    <w:rsid w:val="00356923"/>
    <w:rsid w:val="00356D02"/>
    <w:rsid w:val="003572F5"/>
    <w:rsid w:val="00357885"/>
    <w:rsid w:val="00357F2D"/>
    <w:rsid w:val="00360076"/>
    <w:rsid w:val="00360142"/>
    <w:rsid w:val="003604AB"/>
    <w:rsid w:val="00360837"/>
    <w:rsid w:val="00362C27"/>
    <w:rsid w:val="00362F7D"/>
    <w:rsid w:val="003634A3"/>
    <w:rsid w:val="00363AB0"/>
    <w:rsid w:val="00364286"/>
    <w:rsid w:val="00364B6E"/>
    <w:rsid w:val="003656BE"/>
    <w:rsid w:val="00365DEC"/>
    <w:rsid w:val="00366300"/>
    <w:rsid w:val="00367545"/>
    <w:rsid w:val="003677D8"/>
    <w:rsid w:val="00367ECB"/>
    <w:rsid w:val="00367F28"/>
    <w:rsid w:val="00370325"/>
    <w:rsid w:val="0037081B"/>
    <w:rsid w:val="00371747"/>
    <w:rsid w:val="003718A5"/>
    <w:rsid w:val="00371B17"/>
    <w:rsid w:val="00372598"/>
    <w:rsid w:val="003725B9"/>
    <w:rsid w:val="003737FB"/>
    <w:rsid w:val="00373821"/>
    <w:rsid w:val="00373939"/>
    <w:rsid w:val="00373DEE"/>
    <w:rsid w:val="00374421"/>
    <w:rsid w:val="003761D2"/>
    <w:rsid w:val="00376A0C"/>
    <w:rsid w:val="00376A4D"/>
    <w:rsid w:val="00376E5C"/>
    <w:rsid w:val="00377A0F"/>
    <w:rsid w:val="00377E0B"/>
    <w:rsid w:val="00380ED7"/>
    <w:rsid w:val="00381703"/>
    <w:rsid w:val="00381ABD"/>
    <w:rsid w:val="00381B50"/>
    <w:rsid w:val="00382A5F"/>
    <w:rsid w:val="00382EB0"/>
    <w:rsid w:val="00383C0A"/>
    <w:rsid w:val="00385D19"/>
    <w:rsid w:val="00385DED"/>
    <w:rsid w:val="00386F8F"/>
    <w:rsid w:val="003906EE"/>
    <w:rsid w:val="003913A8"/>
    <w:rsid w:val="00391981"/>
    <w:rsid w:val="00393227"/>
    <w:rsid w:val="00394BBF"/>
    <w:rsid w:val="00397DDE"/>
    <w:rsid w:val="003A02DA"/>
    <w:rsid w:val="003A0ABC"/>
    <w:rsid w:val="003A2A7B"/>
    <w:rsid w:val="003A2F8E"/>
    <w:rsid w:val="003A39A8"/>
    <w:rsid w:val="003A3F2B"/>
    <w:rsid w:val="003A4C92"/>
    <w:rsid w:val="003A4DD0"/>
    <w:rsid w:val="003A5384"/>
    <w:rsid w:val="003A5A8A"/>
    <w:rsid w:val="003A5F65"/>
    <w:rsid w:val="003A6964"/>
    <w:rsid w:val="003A69E6"/>
    <w:rsid w:val="003A702F"/>
    <w:rsid w:val="003A7156"/>
    <w:rsid w:val="003A7763"/>
    <w:rsid w:val="003A7812"/>
    <w:rsid w:val="003B0742"/>
    <w:rsid w:val="003B0905"/>
    <w:rsid w:val="003B0BE2"/>
    <w:rsid w:val="003B19D6"/>
    <w:rsid w:val="003B2111"/>
    <w:rsid w:val="003B258F"/>
    <w:rsid w:val="003B25FF"/>
    <w:rsid w:val="003B2CE3"/>
    <w:rsid w:val="003B35D2"/>
    <w:rsid w:val="003B4E00"/>
    <w:rsid w:val="003B50F2"/>
    <w:rsid w:val="003B5A83"/>
    <w:rsid w:val="003B5C5E"/>
    <w:rsid w:val="003B6648"/>
    <w:rsid w:val="003B7878"/>
    <w:rsid w:val="003C0436"/>
    <w:rsid w:val="003C2136"/>
    <w:rsid w:val="003C238C"/>
    <w:rsid w:val="003C2539"/>
    <w:rsid w:val="003C30F8"/>
    <w:rsid w:val="003C3313"/>
    <w:rsid w:val="003C4823"/>
    <w:rsid w:val="003C4CB6"/>
    <w:rsid w:val="003C52F5"/>
    <w:rsid w:val="003C53D7"/>
    <w:rsid w:val="003C65B6"/>
    <w:rsid w:val="003C6793"/>
    <w:rsid w:val="003C6864"/>
    <w:rsid w:val="003C69F0"/>
    <w:rsid w:val="003C7766"/>
    <w:rsid w:val="003C7911"/>
    <w:rsid w:val="003C7C62"/>
    <w:rsid w:val="003D0E86"/>
    <w:rsid w:val="003D1159"/>
    <w:rsid w:val="003D34E5"/>
    <w:rsid w:val="003D4C97"/>
    <w:rsid w:val="003D59D1"/>
    <w:rsid w:val="003D5A6A"/>
    <w:rsid w:val="003D620F"/>
    <w:rsid w:val="003D6C0F"/>
    <w:rsid w:val="003D7232"/>
    <w:rsid w:val="003D7803"/>
    <w:rsid w:val="003D7B9C"/>
    <w:rsid w:val="003E04BE"/>
    <w:rsid w:val="003E17D0"/>
    <w:rsid w:val="003E1F58"/>
    <w:rsid w:val="003E29EC"/>
    <w:rsid w:val="003E3453"/>
    <w:rsid w:val="003E4902"/>
    <w:rsid w:val="003E4DAF"/>
    <w:rsid w:val="003E4FDD"/>
    <w:rsid w:val="003E4FE0"/>
    <w:rsid w:val="003E5199"/>
    <w:rsid w:val="003E654C"/>
    <w:rsid w:val="003E78BD"/>
    <w:rsid w:val="003E78F0"/>
    <w:rsid w:val="003F0348"/>
    <w:rsid w:val="003F15C4"/>
    <w:rsid w:val="003F22D3"/>
    <w:rsid w:val="003F2521"/>
    <w:rsid w:val="003F2C34"/>
    <w:rsid w:val="003F337B"/>
    <w:rsid w:val="003F380A"/>
    <w:rsid w:val="003F3B72"/>
    <w:rsid w:val="003F4499"/>
    <w:rsid w:val="003F54D9"/>
    <w:rsid w:val="003F5D5A"/>
    <w:rsid w:val="003F6D2C"/>
    <w:rsid w:val="003F799E"/>
    <w:rsid w:val="003F7CBC"/>
    <w:rsid w:val="003F7D8F"/>
    <w:rsid w:val="004006C2"/>
    <w:rsid w:val="00400F7F"/>
    <w:rsid w:val="00401041"/>
    <w:rsid w:val="00401879"/>
    <w:rsid w:val="004022EE"/>
    <w:rsid w:val="00402B8E"/>
    <w:rsid w:val="00402E9A"/>
    <w:rsid w:val="004052F5"/>
    <w:rsid w:val="00406278"/>
    <w:rsid w:val="00406820"/>
    <w:rsid w:val="00406871"/>
    <w:rsid w:val="00406E77"/>
    <w:rsid w:val="004072CE"/>
    <w:rsid w:val="004107C5"/>
    <w:rsid w:val="0041111A"/>
    <w:rsid w:val="004111B3"/>
    <w:rsid w:val="00412850"/>
    <w:rsid w:val="004131CA"/>
    <w:rsid w:val="004141FA"/>
    <w:rsid w:val="0041441D"/>
    <w:rsid w:val="00414468"/>
    <w:rsid w:val="004152A3"/>
    <w:rsid w:val="0041626C"/>
    <w:rsid w:val="00416FF3"/>
    <w:rsid w:val="004174A2"/>
    <w:rsid w:val="00417814"/>
    <w:rsid w:val="00420545"/>
    <w:rsid w:val="00420E81"/>
    <w:rsid w:val="004211E3"/>
    <w:rsid w:val="00421617"/>
    <w:rsid w:val="00421787"/>
    <w:rsid w:val="00421791"/>
    <w:rsid w:val="00421F2D"/>
    <w:rsid w:val="004223A5"/>
    <w:rsid w:val="00422672"/>
    <w:rsid w:val="00422DCB"/>
    <w:rsid w:val="004232C1"/>
    <w:rsid w:val="004238F6"/>
    <w:rsid w:val="00424A1C"/>
    <w:rsid w:val="004250EF"/>
    <w:rsid w:val="00425183"/>
    <w:rsid w:val="00425455"/>
    <w:rsid w:val="0042587F"/>
    <w:rsid w:val="00426624"/>
    <w:rsid w:val="00426F74"/>
    <w:rsid w:val="00430426"/>
    <w:rsid w:val="00430F50"/>
    <w:rsid w:val="00433041"/>
    <w:rsid w:val="00434937"/>
    <w:rsid w:val="004353FA"/>
    <w:rsid w:val="00435450"/>
    <w:rsid w:val="00435622"/>
    <w:rsid w:val="00435D03"/>
    <w:rsid w:val="004364F9"/>
    <w:rsid w:val="00436565"/>
    <w:rsid w:val="00436CEA"/>
    <w:rsid w:val="00436E58"/>
    <w:rsid w:val="00437836"/>
    <w:rsid w:val="00437B61"/>
    <w:rsid w:val="00437F7C"/>
    <w:rsid w:val="0044065D"/>
    <w:rsid w:val="004413E2"/>
    <w:rsid w:val="0044190D"/>
    <w:rsid w:val="00441F57"/>
    <w:rsid w:val="00442B6E"/>
    <w:rsid w:val="00443262"/>
    <w:rsid w:val="00443916"/>
    <w:rsid w:val="00444834"/>
    <w:rsid w:val="00444C0F"/>
    <w:rsid w:val="00445117"/>
    <w:rsid w:val="0044530A"/>
    <w:rsid w:val="00445678"/>
    <w:rsid w:val="004458BA"/>
    <w:rsid w:val="00445A49"/>
    <w:rsid w:val="00445C79"/>
    <w:rsid w:val="00445E06"/>
    <w:rsid w:val="00446374"/>
    <w:rsid w:val="00446705"/>
    <w:rsid w:val="00446B40"/>
    <w:rsid w:val="0044782D"/>
    <w:rsid w:val="00447DAB"/>
    <w:rsid w:val="00447FCA"/>
    <w:rsid w:val="004502AB"/>
    <w:rsid w:val="004506F1"/>
    <w:rsid w:val="00450BAB"/>
    <w:rsid w:val="00450D2D"/>
    <w:rsid w:val="0045102D"/>
    <w:rsid w:val="0045125E"/>
    <w:rsid w:val="0045138D"/>
    <w:rsid w:val="00452454"/>
    <w:rsid w:val="00452958"/>
    <w:rsid w:val="0045469D"/>
    <w:rsid w:val="00454DFB"/>
    <w:rsid w:val="00454F3B"/>
    <w:rsid w:val="0045532A"/>
    <w:rsid w:val="0045532B"/>
    <w:rsid w:val="00455DEA"/>
    <w:rsid w:val="00456B58"/>
    <w:rsid w:val="00457488"/>
    <w:rsid w:val="004600D7"/>
    <w:rsid w:val="00460673"/>
    <w:rsid w:val="00460A3A"/>
    <w:rsid w:val="00460A68"/>
    <w:rsid w:val="0046117C"/>
    <w:rsid w:val="004611E7"/>
    <w:rsid w:val="004617A2"/>
    <w:rsid w:val="00462980"/>
    <w:rsid w:val="00462E83"/>
    <w:rsid w:val="00462F39"/>
    <w:rsid w:val="0046329E"/>
    <w:rsid w:val="00463A21"/>
    <w:rsid w:val="00464426"/>
    <w:rsid w:val="004651EF"/>
    <w:rsid w:val="004657EE"/>
    <w:rsid w:val="00465821"/>
    <w:rsid w:val="0046657A"/>
    <w:rsid w:val="00466A0D"/>
    <w:rsid w:val="00466C4E"/>
    <w:rsid w:val="00466D71"/>
    <w:rsid w:val="00467954"/>
    <w:rsid w:val="004706AD"/>
    <w:rsid w:val="004707D7"/>
    <w:rsid w:val="004707F8"/>
    <w:rsid w:val="00470F07"/>
    <w:rsid w:val="0047182A"/>
    <w:rsid w:val="004730BB"/>
    <w:rsid w:val="00474290"/>
    <w:rsid w:val="00474C62"/>
    <w:rsid w:val="00475A40"/>
    <w:rsid w:val="00475BBF"/>
    <w:rsid w:val="00475BE0"/>
    <w:rsid w:val="00475DBC"/>
    <w:rsid w:val="0047646A"/>
    <w:rsid w:val="004765BD"/>
    <w:rsid w:val="00477BAB"/>
    <w:rsid w:val="00477C82"/>
    <w:rsid w:val="00480371"/>
    <w:rsid w:val="00480479"/>
    <w:rsid w:val="00481208"/>
    <w:rsid w:val="00482D53"/>
    <w:rsid w:val="004835F9"/>
    <w:rsid w:val="00483F7D"/>
    <w:rsid w:val="004841EE"/>
    <w:rsid w:val="00484EAC"/>
    <w:rsid w:val="00486606"/>
    <w:rsid w:val="004901B1"/>
    <w:rsid w:val="0049026A"/>
    <w:rsid w:val="00491318"/>
    <w:rsid w:val="00492003"/>
    <w:rsid w:val="00492A29"/>
    <w:rsid w:val="00492A4A"/>
    <w:rsid w:val="00492AAC"/>
    <w:rsid w:val="00493F76"/>
    <w:rsid w:val="00495099"/>
    <w:rsid w:val="00495522"/>
    <w:rsid w:val="00495640"/>
    <w:rsid w:val="004956A7"/>
    <w:rsid w:val="00495CDB"/>
    <w:rsid w:val="00496738"/>
    <w:rsid w:val="0049695A"/>
    <w:rsid w:val="00496FF7"/>
    <w:rsid w:val="00497D62"/>
    <w:rsid w:val="004A081F"/>
    <w:rsid w:val="004A0CBA"/>
    <w:rsid w:val="004A1003"/>
    <w:rsid w:val="004A16DE"/>
    <w:rsid w:val="004A2227"/>
    <w:rsid w:val="004A2E94"/>
    <w:rsid w:val="004A2F99"/>
    <w:rsid w:val="004A349F"/>
    <w:rsid w:val="004A365A"/>
    <w:rsid w:val="004A3832"/>
    <w:rsid w:val="004A3966"/>
    <w:rsid w:val="004A43FD"/>
    <w:rsid w:val="004A4F6F"/>
    <w:rsid w:val="004A7FA5"/>
    <w:rsid w:val="004B0072"/>
    <w:rsid w:val="004B04C7"/>
    <w:rsid w:val="004B0991"/>
    <w:rsid w:val="004B0B65"/>
    <w:rsid w:val="004B1C45"/>
    <w:rsid w:val="004B29A7"/>
    <w:rsid w:val="004B2B68"/>
    <w:rsid w:val="004B3773"/>
    <w:rsid w:val="004B3DEB"/>
    <w:rsid w:val="004B4473"/>
    <w:rsid w:val="004B4572"/>
    <w:rsid w:val="004B4925"/>
    <w:rsid w:val="004B508E"/>
    <w:rsid w:val="004B59F8"/>
    <w:rsid w:val="004B6127"/>
    <w:rsid w:val="004B6B91"/>
    <w:rsid w:val="004B7885"/>
    <w:rsid w:val="004C0412"/>
    <w:rsid w:val="004C0D03"/>
    <w:rsid w:val="004C0F2C"/>
    <w:rsid w:val="004C12CE"/>
    <w:rsid w:val="004C1C2C"/>
    <w:rsid w:val="004C225E"/>
    <w:rsid w:val="004C2437"/>
    <w:rsid w:val="004C28B8"/>
    <w:rsid w:val="004C333D"/>
    <w:rsid w:val="004C3582"/>
    <w:rsid w:val="004C54A5"/>
    <w:rsid w:val="004C5BFD"/>
    <w:rsid w:val="004C60DC"/>
    <w:rsid w:val="004C68A7"/>
    <w:rsid w:val="004C73DE"/>
    <w:rsid w:val="004C79CE"/>
    <w:rsid w:val="004C7B31"/>
    <w:rsid w:val="004C7E88"/>
    <w:rsid w:val="004D333A"/>
    <w:rsid w:val="004D3BF3"/>
    <w:rsid w:val="004D49EA"/>
    <w:rsid w:val="004D5117"/>
    <w:rsid w:val="004D5630"/>
    <w:rsid w:val="004D57AB"/>
    <w:rsid w:val="004D5848"/>
    <w:rsid w:val="004D65F9"/>
    <w:rsid w:val="004D6976"/>
    <w:rsid w:val="004D733B"/>
    <w:rsid w:val="004D781B"/>
    <w:rsid w:val="004E066F"/>
    <w:rsid w:val="004E07B3"/>
    <w:rsid w:val="004E0EAC"/>
    <w:rsid w:val="004E14C4"/>
    <w:rsid w:val="004E1697"/>
    <w:rsid w:val="004E334F"/>
    <w:rsid w:val="004E3D3D"/>
    <w:rsid w:val="004E48BD"/>
    <w:rsid w:val="004E4D65"/>
    <w:rsid w:val="004E5DA1"/>
    <w:rsid w:val="004E5EB5"/>
    <w:rsid w:val="004E669C"/>
    <w:rsid w:val="004E6A9F"/>
    <w:rsid w:val="004E6D08"/>
    <w:rsid w:val="004E6D69"/>
    <w:rsid w:val="004E7BF6"/>
    <w:rsid w:val="004F0015"/>
    <w:rsid w:val="004F02F0"/>
    <w:rsid w:val="004F0FE0"/>
    <w:rsid w:val="004F16D9"/>
    <w:rsid w:val="004F1AB1"/>
    <w:rsid w:val="004F1F3D"/>
    <w:rsid w:val="004F24B5"/>
    <w:rsid w:val="004F3C7A"/>
    <w:rsid w:val="004F3E2B"/>
    <w:rsid w:val="004F3E54"/>
    <w:rsid w:val="004F445A"/>
    <w:rsid w:val="004F7452"/>
    <w:rsid w:val="004F7A8A"/>
    <w:rsid w:val="004F7C73"/>
    <w:rsid w:val="004F7F7F"/>
    <w:rsid w:val="005008F8"/>
    <w:rsid w:val="00500DBA"/>
    <w:rsid w:val="00501658"/>
    <w:rsid w:val="00501B5A"/>
    <w:rsid w:val="0050321B"/>
    <w:rsid w:val="0050395A"/>
    <w:rsid w:val="005045CA"/>
    <w:rsid w:val="005077FE"/>
    <w:rsid w:val="00507A28"/>
    <w:rsid w:val="00510593"/>
    <w:rsid w:val="005111D1"/>
    <w:rsid w:val="005111DA"/>
    <w:rsid w:val="005117EA"/>
    <w:rsid w:val="00511D12"/>
    <w:rsid w:val="00511E5B"/>
    <w:rsid w:val="005124C5"/>
    <w:rsid w:val="00513408"/>
    <w:rsid w:val="00513432"/>
    <w:rsid w:val="00513D3A"/>
    <w:rsid w:val="00514106"/>
    <w:rsid w:val="005144BD"/>
    <w:rsid w:val="005144C8"/>
    <w:rsid w:val="005146E3"/>
    <w:rsid w:val="005148D0"/>
    <w:rsid w:val="0051678A"/>
    <w:rsid w:val="00516B13"/>
    <w:rsid w:val="0051771B"/>
    <w:rsid w:val="00520778"/>
    <w:rsid w:val="0052084B"/>
    <w:rsid w:val="00521490"/>
    <w:rsid w:val="0052185B"/>
    <w:rsid w:val="00521A9E"/>
    <w:rsid w:val="00522BAD"/>
    <w:rsid w:val="00523090"/>
    <w:rsid w:val="00523B8F"/>
    <w:rsid w:val="00523ED9"/>
    <w:rsid w:val="005245EE"/>
    <w:rsid w:val="00524D8A"/>
    <w:rsid w:val="00525824"/>
    <w:rsid w:val="0052642A"/>
    <w:rsid w:val="0052646D"/>
    <w:rsid w:val="005266B7"/>
    <w:rsid w:val="00530072"/>
    <w:rsid w:val="00530322"/>
    <w:rsid w:val="00530728"/>
    <w:rsid w:val="00530A6E"/>
    <w:rsid w:val="0053269B"/>
    <w:rsid w:val="00532E83"/>
    <w:rsid w:val="005333AA"/>
    <w:rsid w:val="005355C8"/>
    <w:rsid w:val="00536339"/>
    <w:rsid w:val="005364C6"/>
    <w:rsid w:val="005365E0"/>
    <w:rsid w:val="005376DB"/>
    <w:rsid w:val="00541725"/>
    <w:rsid w:val="00542168"/>
    <w:rsid w:val="0054281A"/>
    <w:rsid w:val="0054362A"/>
    <w:rsid w:val="005443C8"/>
    <w:rsid w:val="00545F06"/>
    <w:rsid w:val="0054643B"/>
    <w:rsid w:val="00546FD3"/>
    <w:rsid w:val="005478EE"/>
    <w:rsid w:val="00547D72"/>
    <w:rsid w:val="00550691"/>
    <w:rsid w:val="00550758"/>
    <w:rsid w:val="005512DF"/>
    <w:rsid w:val="00551C75"/>
    <w:rsid w:val="00551F15"/>
    <w:rsid w:val="00552C4A"/>
    <w:rsid w:val="00553A6D"/>
    <w:rsid w:val="00553C53"/>
    <w:rsid w:val="00555B3F"/>
    <w:rsid w:val="00555CEA"/>
    <w:rsid w:val="00556985"/>
    <w:rsid w:val="00556AFA"/>
    <w:rsid w:val="00556C2C"/>
    <w:rsid w:val="005577A1"/>
    <w:rsid w:val="00557BE0"/>
    <w:rsid w:val="005607BC"/>
    <w:rsid w:val="00560972"/>
    <w:rsid w:val="00560FB1"/>
    <w:rsid w:val="005611C9"/>
    <w:rsid w:val="00561DFC"/>
    <w:rsid w:val="00562B3D"/>
    <w:rsid w:val="00562CE4"/>
    <w:rsid w:val="0056312B"/>
    <w:rsid w:val="005631A5"/>
    <w:rsid w:val="0056353A"/>
    <w:rsid w:val="0056372C"/>
    <w:rsid w:val="00564B97"/>
    <w:rsid w:val="00564D89"/>
    <w:rsid w:val="00565CF8"/>
    <w:rsid w:val="005662E4"/>
    <w:rsid w:val="005665A3"/>
    <w:rsid w:val="00566DD3"/>
    <w:rsid w:val="00567F8A"/>
    <w:rsid w:val="0057003F"/>
    <w:rsid w:val="00570519"/>
    <w:rsid w:val="0057067F"/>
    <w:rsid w:val="005710B2"/>
    <w:rsid w:val="005721F8"/>
    <w:rsid w:val="00573C9E"/>
    <w:rsid w:val="0057471B"/>
    <w:rsid w:val="00574DD2"/>
    <w:rsid w:val="00574E53"/>
    <w:rsid w:val="00575B2D"/>
    <w:rsid w:val="00576DBD"/>
    <w:rsid w:val="00581F1C"/>
    <w:rsid w:val="00582668"/>
    <w:rsid w:val="0058279B"/>
    <w:rsid w:val="00582C29"/>
    <w:rsid w:val="005830A4"/>
    <w:rsid w:val="00583FAB"/>
    <w:rsid w:val="0058447D"/>
    <w:rsid w:val="005846F7"/>
    <w:rsid w:val="0058503F"/>
    <w:rsid w:val="005855EF"/>
    <w:rsid w:val="00585829"/>
    <w:rsid w:val="005870C8"/>
    <w:rsid w:val="005873FC"/>
    <w:rsid w:val="00587A1C"/>
    <w:rsid w:val="0059247B"/>
    <w:rsid w:val="005939D0"/>
    <w:rsid w:val="00594823"/>
    <w:rsid w:val="00594BFA"/>
    <w:rsid w:val="0059556D"/>
    <w:rsid w:val="00595826"/>
    <w:rsid w:val="0059586F"/>
    <w:rsid w:val="005961C0"/>
    <w:rsid w:val="005A06C3"/>
    <w:rsid w:val="005A15FF"/>
    <w:rsid w:val="005A234C"/>
    <w:rsid w:val="005A2D28"/>
    <w:rsid w:val="005A43ED"/>
    <w:rsid w:val="005A5722"/>
    <w:rsid w:val="005A6DB0"/>
    <w:rsid w:val="005A71AD"/>
    <w:rsid w:val="005B2960"/>
    <w:rsid w:val="005B5837"/>
    <w:rsid w:val="005B59AC"/>
    <w:rsid w:val="005B6C68"/>
    <w:rsid w:val="005B7426"/>
    <w:rsid w:val="005B76F0"/>
    <w:rsid w:val="005B7756"/>
    <w:rsid w:val="005C032C"/>
    <w:rsid w:val="005C11F2"/>
    <w:rsid w:val="005C1875"/>
    <w:rsid w:val="005C38F6"/>
    <w:rsid w:val="005C3DA0"/>
    <w:rsid w:val="005C4599"/>
    <w:rsid w:val="005C4778"/>
    <w:rsid w:val="005C4D3C"/>
    <w:rsid w:val="005C4FCA"/>
    <w:rsid w:val="005C5129"/>
    <w:rsid w:val="005C51AA"/>
    <w:rsid w:val="005C5454"/>
    <w:rsid w:val="005C556A"/>
    <w:rsid w:val="005C59F1"/>
    <w:rsid w:val="005C6DE5"/>
    <w:rsid w:val="005C7109"/>
    <w:rsid w:val="005C7529"/>
    <w:rsid w:val="005C7F26"/>
    <w:rsid w:val="005C7F6C"/>
    <w:rsid w:val="005D0BA3"/>
    <w:rsid w:val="005D15EF"/>
    <w:rsid w:val="005D1A38"/>
    <w:rsid w:val="005D1E21"/>
    <w:rsid w:val="005D2863"/>
    <w:rsid w:val="005D2EC5"/>
    <w:rsid w:val="005D3140"/>
    <w:rsid w:val="005D3365"/>
    <w:rsid w:val="005D37BE"/>
    <w:rsid w:val="005D4151"/>
    <w:rsid w:val="005D476E"/>
    <w:rsid w:val="005D4BE9"/>
    <w:rsid w:val="005D513C"/>
    <w:rsid w:val="005D5654"/>
    <w:rsid w:val="005D5FD3"/>
    <w:rsid w:val="005D6539"/>
    <w:rsid w:val="005D686A"/>
    <w:rsid w:val="005D696C"/>
    <w:rsid w:val="005D6B4D"/>
    <w:rsid w:val="005E0EEA"/>
    <w:rsid w:val="005E1199"/>
    <w:rsid w:val="005E32D9"/>
    <w:rsid w:val="005E3DD8"/>
    <w:rsid w:val="005E45A9"/>
    <w:rsid w:val="005E4E50"/>
    <w:rsid w:val="005E4E8F"/>
    <w:rsid w:val="005E550A"/>
    <w:rsid w:val="005E61CC"/>
    <w:rsid w:val="005F066B"/>
    <w:rsid w:val="005F118F"/>
    <w:rsid w:val="005F1306"/>
    <w:rsid w:val="005F1AE8"/>
    <w:rsid w:val="005F29EC"/>
    <w:rsid w:val="005F49AA"/>
    <w:rsid w:val="005F4BB3"/>
    <w:rsid w:val="005F4DD6"/>
    <w:rsid w:val="005F5463"/>
    <w:rsid w:val="005F56F7"/>
    <w:rsid w:val="005F5B14"/>
    <w:rsid w:val="005F7FF3"/>
    <w:rsid w:val="006000F9"/>
    <w:rsid w:val="00600FD1"/>
    <w:rsid w:val="006012EC"/>
    <w:rsid w:val="00602E19"/>
    <w:rsid w:val="006032AD"/>
    <w:rsid w:val="006035C8"/>
    <w:rsid w:val="00603DC1"/>
    <w:rsid w:val="00604406"/>
    <w:rsid w:val="00604479"/>
    <w:rsid w:val="006045BC"/>
    <w:rsid w:val="0060497C"/>
    <w:rsid w:val="00604AE1"/>
    <w:rsid w:val="00604CB7"/>
    <w:rsid w:val="0060500B"/>
    <w:rsid w:val="00605793"/>
    <w:rsid w:val="00605818"/>
    <w:rsid w:val="00606A24"/>
    <w:rsid w:val="00607AC7"/>
    <w:rsid w:val="00610C6C"/>
    <w:rsid w:val="00610F66"/>
    <w:rsid w:val="00611469"/>
    <w:rsid w:val="00611651"/>
    <w:rsid w:val="0061174B"/>
    <w:rsid w:val="00611AC0"/>
    <w:rsid w:val="00611D26"/>
    <w:rsid w:val="00612767"/>
    <w:rsid w:val="006139C2"/>
    <w:rsid w:val="006144F0"/>
    <w:rsid w:val="00614F41"/>
    <w:rsid w:val="00615154"/>
    <w:rsid w:val="0061596C"/>
    <w:rsid w:val="006163F1"/>
    <w:rsid w:val="006178ED"/>
    <w:rsid w:val="0062021F"/>
    <w:rsid w:val="00620480"/>
    <w:rsid w:val="00621259"/>
    <w:rsid w:val="00621277"/>
    <w:rsid w:val="00621DCE"/>
    <w:rsid w:val="00622200"/>
    <w:rsid w:val="0062265B"/>
    <w:rsid w:val="00622B55"/>
    <w:rsid w:val="00622F10"/>
    <w:rsid w:val="00623208"/>
    <w:rsid w:val="00623822"/>
    <w:rsid w:val="006243DA"/>
    <w:rsid w:val="006245E0"/>
    <w:rsid w:val="00624E7E"/>
    <w:rsid w:val="00625562"/>
    <w:rsid w:val="006256B2"/>
    <w:rsid w:val="00626EED"/>
    <w:rsid w:val="00627472"/>
    <w:rsid w:val="00630074"/>
    <w:rsid w:val="00630A22"/>
    <w:rsid w:val="00630C3E"/>
    <w:rsid w:val="006320BA"/>
    <w:rsid w:val="00633F3D"/>
    <w:rsid w:val="006340D8"/>
    <w:rsid w:val="00634D31"/>
    <w:rsid w:val="00635B68"/>
    <w:rsid w:val="00636F8A"/>
    <w:rsid w:val="00637441"/>
    <w:rsid w:val="006376F7"/>
    <w:rsid w:val="00637796"/>
    <w:rsid w:val="006400F5"/>
    <w:rsid w:val="006402C4"/>
    <w:rsid w:val="006418F4"/>
    <w:rsid w:val="0064195B"/>
    <w:rsid w:val="00641A48"/>
    <w:rsid w:val="00641E99"/>
    <w:rsid w:val="006426FC"/>
    <w:rsid w:val="00642702"/>
    <w:rsid w:val="0064286B"/>
    <w:rsid w:val="00643851"/>
    <w:rsid w:val="00643C29"/>
    <w:rsid w:val="00644D6D"/>
    <w:rsid w:val="00644DAC"/>
    <w:rsid w:val="00645378"/>
    <w:rsid w:val="00645D4D"/>
    <w:rsid w:val="0064698E"/>
    <w:rsid w:val="006471DF"/>
    <w:rsid w:val="006473F8"/>
    <w:rsid w:val="00650929"/>
    <w:rsid w:val="00651D28"/>
    <w:rsid w:val="006542A5"/>
    <w:rsid w:val="006544D6"/>
    <w:rsid w:val="00654800"/>
    <w:rsid w:val="0065505E"/>
    <w:rsid w:val="00655D10"/>
    <w:rsid w:val="00656783"/>
    <w:rsid w:val="006568F0"/>
    <w:rsid w:val="00660090"/>
    <w:rsid w:val="0066063E"/>
    <w:rsid w:val="00660CB7"/>
    <w:rsid w:val="00660D62"/>
    <w:rsid w:val="0066238A"/>
    <w:rsid w:val="00662672"/>
    <w:rsid w:val="00662BC8"/>
    <w:rsid w:val="00663A0E"/>
    <w:rsid w:val="0066535B"/>
    <w:rsid w:val="00666375"/>
    <w:rsid w:val="00667233"/>
    <w:rsid w:val="00667C76"/>
    <w:rsid w:val="00667DE6"/>
    <w:rsid w:val="00670B4D"/>
    <w:rsid w:val="0067116E"/>
    <w:rsid w:val="0067189F"/>
    <w:rsid w:val="00671AF7"/>
    <w:rsid w:val="00671BE1"/>
    <w:rsid w:val="00671D93"/>
    <w:rsid w:val="006730B6"/>
    <w:rsid w:val="00673DFA"/>
    <w:rsid w:val="006743FE"/>
    <w:rsid w:val="00674490"/>
    <w:rsid w:val="00675014"/>
    <w:rsid w:val="00676A4E"/>
    <w:rsid w:val="00677CA1"/>
    <w:rsid w:val="00680C96"/>
    <w:rsid w:val="0068101A"/>
    <w:rsid w:val="006818CA"/>
    <w:rsid w:val="006821C4"/>
    <w:rsid w:val="00682497"/>
    <w:rsid w:val="00683E33"/>
    <w:rsid w:val="00683FA8"/>
    <w:rsid w:val="00686220"/>
    <w:rsid w:val="0068628D"/>
    <w:rsid w:val="00687A00"/>
    <w:rsid w:val="00690CD8"/>
    <w:rsid w:val="00691952"/>
    <w:rsid w:val="00692A3D"/>
    <w:rsid w:val="00692CFD"/>
    <w:rsid w:val="00692E8B"/>
    <w:rsid w:val="00694ABA"/>
    <w:rsid w:val="006955B3"/>
    <w:rsid w:val="00695CEF"/>
    <w:rsid w:val="00696602"/>
    <w:rsid w:val="0069679C"/>
    <w:rsid w:val="00696C44"/>
    <w:rsid w:val="00697E6D"/>
    <w:rsid w:val="006A0B72"/>
    <w:rsid w:val="006A2A69"/>
    <w:rsid w:val="006A3B6D"/>
    <w:rsid w:val="006A4223"/>
    <w:rsid w:val="006A4805"/>
    <w:rsid w:val="006A5BE2"/>
    <w:rsid w:val="006A5C4F"/>
    <w:rsid w:val="006A602C"/>
    <w:rsid w:val="006A64FF"/>
    <w:rsid w:val="006A6699"/>
    <w:rsid w:val="006A6E53"/>
    <w:rsid w:val="006A724D"/>
    <w:rsid w:val="006B1214"/>
    <w:rsid w:val="006B1744"/>
    <w:rsid w:val="006B2777"/>
    <w:rsid w:val="006B283A"/>
    <w:rsid w:val="006B28E0"/>
    <w:rsid w:val="006B463D"/>
    <w:rsid w:val="006B499B"/>
    <w:rsid w:val="006B4F10"/>
    <w:rsid w:val="006B5090"/>
    <w:rsid w:val="006B5EE4"/>
    <w:rsid w:val="006B7A5D"/>
    <w:rsid w:val="006C01E2"/>
    <w:rsid w:val="006C0D98"/>
    <w:rsid w:val="006C11DE"/>
    <w:rsid w:val="006C1651"/>
    <w:rsid w:val="006C19BD"/>
    <w:rsid w:val="006C27AC"/>
    <w:rsid w:val="006C2C4B"/>
    <w:rsid w:val="006C37D1"/>
    <w:rsid w:val="006C3E54"/>
    <w:rsid w:val="006C4081"/>
    <w:rsid w:val="006C42E0"/>
    <w:rsid w:val="006C4B8D"/>
    <w:rsid w:val="006C4B9C"/>
    <w:rsid w:val="006C4DB7"/>
    <w:rsid w:val="006C4EB7"/>
    <w:rsid w:val="006C50D2"/>
    <w:rsid w:val="006C5231"/>
    <w:rsid w:val="006C54A4"/>
    <w:rsid w:val="006C613A"/>
    <w:rsid w:val="006C70EB"/>
    <w:rsid w:val="006C7161"/>
    <w:rsid w:val="006D01FB"/>
    <w:rsid w:val="006D057C"/>
    <w:rsid w:val="006D07B1"/>
    <w:rsid w:val="006D0B42"/>
    <w:rsid w:val="006D0F42"/>
    <w:rsid w:val="006D1406"/>
    <w:rsid w:val="006D1F9F"/>
    <w:rsid w:val="006D1FDF"/>
    <w:rsid w:val="006D2969"/>
    <w:rsid w:val="006D3B01"/>
    <w:rsid w:val="006D3EA7"/>
    <w:rsid w:val="006D4843"/>
    <w:rsid w:val="006D4972"/>
    <w:rsid w:val="006D4A03"/>
    <w:rsid w:val="006D4AA5"/>
    <w:rsid w:val="006D5050"/>
    <w:rsid w:val="006D50A1"/>
    <w:rsid w:val="006D5154"/>
    <w:rsid w:val="006D521D"/>
    <w:rsid w:val="006D52A3"/>
    <w:rsid w:val="006D5618"/>
    <w:rsid w:val="006D5981"/>
    <w:rsid w:val="006D66C8"/>
    <w:rsid w:val="006D7459"/>
    <w:rsid w:val="006D7E7E"/>
    <w:rsid w:val="006E1D13"/>
    <w:rsid w:val="006E1FC7"/>
    <w:rsid w:val="006E2021"/>
    <w:rsid w:val="006E34F3"/>
    <w:rsid w:val="006E39F2"/>
    <w:rsid w:val="006E3C60"/>
    <w:rsid w:val="006E472A"/>
    <w:rsid w:val="006E4FEB"/>
    <w:rsid w:val="006E5F64"/>
    <w:rsid w:val="006E612B"/>
    <w:rsid w:val="006E6463"/>
    <w:rsid w:val="006E6794"/>
    <w:rsid w:val="006E68D3"/>
    <w:rsid w:val="006E73C7"/>
    <w:rsid w:val="006E790A"/>
    <w:rsid w:val="006E798E"/>
    <w:rsid w:val="006E7CBA"/>
    <w:rsid w:val="006F0164"/>
    <w:rsid w:val="006F287C"/>
    <w:rsid w:val="006F2C2A"/>
    <w:rsid w:val="006F2D0C"/>
    <w:rsid w:val="006F310E"/>
    <w:rsid w:val="006F3899"/>
    <w:rsid w:val="006F3955"/>
    <w:rsid w:val="006F4081"/>
    <w:rsid w:val="006F4506"/>
    <w:rsid w:val="006F4985"/>
    <w:rsid w:val="006F4F14"/>
    <w:rsid w:val="006F6423"/>
    <w:rsid w:val="006F6EB9"/>
    <w:rsid w:val="006F78A8"/>
    <w:rsid w:val="00700588"/>
    <w:rsid w:val="00700CFD"/>
    <w:rsid w:val="0070146B"/>
    <w:rsid w:val="00701472"/>
    <w:rsid w:val="0070186C"/>
    <w:rsid w:val="00702B67"/>
    <w:rsid w:val="00702E71"/>
    <w:rsid w:val="00703B37"/>
    <w:rsid w:val="00704B9D"/>
    <w:rsid w:val="007054F0"/>
    <w:rsid w:val="00705814"/>
    <w:rsid w:val="00706067"/>
    <w:rsid w:val="007062C4"/>
    <w:rsid w:val="00706C93"/>
    <w:rsid w:val="00710230"/>
    <w:rsid w:val="00711A2B"/>
    <w:rsid w:val="00711D6D"/>
    <w:rsid w:val="007129DB"/>
    <w:rsid w:val="00712EA8"/>
    <w:rsid w:val="0071310E"/>
    <w:rsid w:val="00713599"/>
    <w:rsid w:val="0071360A"/>
    <w:rsid w:val="0071464F"/>
    <w:rsid w:val="00714C57"/>
    <w:rsid w:val="00715361"/>
    <w:rsid w:val="00716662"/>
    <w:rsid w:val="0072177C"/>
    <w:rsid w:val="007218D8"/>
    <w:rsid w:val="007220A5"/>
    <w:rsid w:val="00723659"/>
    <w:rsid w:val="0072401D"/>
    <w:rsid w:val="007245DF"/>
    <w:rsid w:val="007253CB"/>
    <w:rsid w:val="007258F5"/>
    <w:rsid w:val="00725F33"/>
    <w:rsid w:val="00730AD8"/>
    <w:rsid w:val="007326AD"/>
    <w:rsid w:val="00733358"/>
    <w:rsid w:val="00733941"/>
    <w:rsid w:val="00733B6B"/>
    <w:rsid w:val="00733D92"/>
    <w:rsid w:val="00733E02"/>
    <w:rsid w:val="007340F8"/>
    <w:rsid w:val="007355AC"/>
    <w:rsid w:val="007367D8"/>
    <w:rsid w:val="00736BC5"/>
    <w:rsid w:val="007370A9"/>
    <w:rsid w:val="00740665"/>
    <w:rsid w:val="00740DE8"/>
    <w:rsid w:val="007420FA"/>
    <w:rsid w:val="007438F0"/>
    <w:rsid w:val="00743B12"/>
    <w:rsid w:val="007448B2"/>
    <w:rsid w:val="00744EB7"/>
    <w:rsid w:val="00744EEF"/>
    <w:rsid w:val="00745197"/>
    <w:rsid w:val="007456BA"/>
    <w:rsid w:val="00745DA2"/>
    <w:rsid w:val="007468CB"/>
    <w:rsid w:val="00746EFC"/>
    <w:rsid w:val="007479E3"/>
    <w:rsid w:val="007508E7"/>
    <w:rsid w:val="007528E4"/>
    <w:rsid w:val="00752E45"/>
    <w:rsid w:val="00753921"/>
    <w:rsid w:val="00753C5B"/>
    <w:rsid w:val="0075545C"/>
    <w:rsid w:val="007564A9"/>
    <w:rsid w:val="00756516"/>
    <w:rsid w:val="007567A8"/>
    <w:rsid w:val="00756C73"/>
    <w:rsid w:val="00757195"/>
    <w:rsid w:val="007573D4"/>
    <w:rsid w:val="00757644"/>
    <w:rsid w:val="0075786B"/>
    <w:rsid w:val="00760426"/>
    <w:rsid w:val="00761D2A"/>
    <w:rsid w:val="00762368"/>
    <w:rsid w:val="00762F88"/>
    <w:rsid w:val="00762FF6"/>
    <w:rsid w:val="007638D8"/>
    <w:rsid w:val="00763932"/>
    <w:rsid w:val="00763CDD"/>
    <w:rsid w:val="007652CA"/>
    <w:rsid w:val="007659E5"/>
    <w:rsid w:val="007667CA"/>
    <w:rsid w:val="00766F3C"/>
    <w:rsid w:val="0076727B"/>
    <w:rsid w:val="007676D3"/>
    <w:rsid w:val="00767929"/>
    <w:rsid w:val="00767CD7"/>
    <w:rsid w:val="007703BA"/>
    <w:rsid w:val="00770A8B"/>
    <w:rsid w:val="00770CC3"/>
    <w:rsid w:val="00770DF2"/>
    <w:rsid w:val="00771173"/>
    <w:rsid w:val="007714B7"/>
    <w:rsid w:val="00772BC0"/>
    <w:rsid w:val="0077307E"/>
    <w:rsid w:val="007738EC"/>
    <w:rsid w:val="00773ED2"/>
    <w:rsid w:val="007747F3"/>
    <w:rsid w:val="00774EBB"/>
    <w:rsid w:val="007756A5"/>
    <w:rsid w:val="007756E5"/>
    <w:rsid w:val="00775F6D"/>
    <w:rsid w:val="007760FF"/>
    <w:rsid w:val="00776178"/>
    <w:rsid w:val="007763B9"/>
    <w:rsid w:val="007764BB"/>
    <w:rsid w:val="00776A2E"/>
    <w:rsid w:val="007775D3"/>
    <w:rsid w:val="00777747"/>
    <w:rsid w:val="00780767"/>
    <w:rsid w:val="00781FD1"/>
    <w:rsid w:val="00782C0E"/>
    <w:rsid w:val="0078312A"/>
    <w:rsid w:val="00783206"/>
    <w:rsid w:val="007835DE"/>
    <w:rsid w:val="00783A58"/>
    <w:rsid w:val="00784458"/>
    <w:rsid w:val="007845BD"/>
    <w:rsid w:val="00784856"/>
    <w:rsid w:val="00785FC0"/>
    <w:rsid w:val="00787599"/>
    <w:rsid w:val="007907C0"/>
    <w:rsid w:val="00790AC4"/>
    <w:rsid w:val="007912CE"/>
    <w:rsid w:val="00791760"/>
    <w:rsid w:val="00791C74"/>
    <w:rsid w:val="00792577"/>
    <w:rsid w:val="00792961"/>
    <w:rsid w:val="00792C36"/>
    <w:rsid w:val="00792C5D"/>
    <w:rsid w:val="007931AB"/>
    <w:rsid w:val="00793F3F"/>
    <w:rsid w:val="00794110"/>
    <w:rsid w:val="00794933"/>
    <w:rsid w:val="00794C3D"/>
    <w:rsid w:val="00794DF8"/>
    <w:rsid w:val="00795C7A"/>
    <w:rsid w:val="007964CE"/>
    <w:rsid w:val="0079674B"/>
    <w:rsid w:val="00796F8A"/>
    <w:rsid w:val="007A092F"/>
    <w:rsid w:val="007A0B2D"/>
    <w:rsid w:val="007A0DF8"/>
    <w:rsid w:val="007A1E1A"/>
    <w:rsid w:val="007A23D8"/>
    <w:rsid w:val="007A2C9A"/>
    <w:rsid w:val="007A52E2"/>
    <w:rsid w:val="007A5BC3"/>
    <w:rsid w:val="007A5FAA"/>
    <w:rsid w:val="007A6354"/>
    <w:rsid w:val="007A66E2"/>
    <w:rsid w:val="007A6FDE"/>
    <w:rsid w:val="007B062A"/>
    <w:rsid w:val="007B0831"/>
    <w:rsid w:val="007B14FE"/>
    <w:rsid w:val="007B286F"/>
    <w:rsid w:val="007B29B9"/>
    <w:rsid w:val="007B2F8F"/>
    <w:rsid w:val="007B3059"/>
    <w:rsid w:val="007B3D6C"/>
    <w:rsid w:val="007B4CFF"/>
    <w:rsid w:val="007B5A68"/>
    <w:rsid w:val="007B5B03"/>
    <w:rsid w:val="007B6129"/>
    <w:rsid w:val="007B649C"/>
    <w:rsid w:val="007C085B"/>
    <w:rsid w:val="007C1EF2"/>
    <w:rsid w:val="007C3909"/>
    <w:rsid w:val="007C41D6"/>
    <w:rsid w:val="007C437A"/>
    <w:rsid w:val="007C45C6"/>
    <w:rsid w:val="007C4B44"/>
    <w:rsid w:val="007C500D"/>
    <w:rsid w:val="007C5BC6"/>
    <w:rsid w:val="007C6C2F"/>
    <w:rsid w:val="007D00B6"/>
    <w:rsid w:val="007D0BD1"/>
    <w:rsid w:val="007D151E"/>
    <w:rsid w:val="007D1734"/>
    <w:rsid w:val="007D2219"/>
    <w:rsid w:val="007D23A0"/>
    <w:rsid w:val="007D2CA1"/>
    <w:rsid w:val="007D31E2"/>
    <w:rsid w:val="007D352B"/>
    <w:rsid w:val="007D503C"/>
    <w:rsid w:val="007D543F"/>
    <w:rsid w:val="007D57AF"/>
    <w:rsid w:val="007D7693"/>
    <w:rsid w:val="007D790F"/>
    <w:rsid w:val="007E0265"/>
    <w:rsid w:val="007E0BA1"/>
    <w:rsid w:val="007E1A99"/>
    <w:rsid w:val="007E20AA"/>
    <w:rsid w:val="007E2FFB"/>
    <w:rsid w:val="007E4216"/>
    <w:rsid w:val="007E48F7"/>
    <w:rsid w:val="007E6660"/>
    <w:rsid w:val="007E7538"/>
    <w:rsid w:val="007E7F34"/>
    <w:rsid w:val="007F1070"/>
    <w:rsid w:val="007F10B6"/>
    <w:rsid w:val="007F14DF"/>
    <w:rsid w:val="007F244E"/>
    <w:rsid w:val="007F40B4"/>
    <w:rsid w:val="007F4120"/>
    <w:rsid w:val="007F4374"/>
    <w:rsid w:val="007F44BF"/>
    <w:rsid w:val="007F51AC"/>
    <w:rsid w:val="007F5BE3"/>
    <w:rsid w:val="007F724E"/>
    <w:rsid w:val="007F7573"/>
    <w:rsid w:val="00800203"/>
    <w:rsid w:val="0080071C"/>
    <w:rsid w:val="00800B0D"/>
    <w:rsid w:val="008013EA"/>
    <w:rsid w:val="00801A22"/>
    <w:rsid w:val="00801A5F"/>
    <w:rsid w:val="0080275B"/>
    <w:rsid w:val="00803937"/>
    <w:rsid w:val="00803D8C"/>
    <w:rsid w:val="00804499"/>
    <w:rsid w:val="00804E80"/>
    <w:rsid w:val="00804F19"/>
    <w:rsid w:val="008050D2"/>
    <w:rsid w:val="008051F9"/>
    <w:rsid w:val="008057DD"/>
    <w:rsid w:val="00806AA6"/>
    <w:rsid w:val="00806E14"/>
    <w:rsid w:val="00807C3A"/>
    <w:rsid w:val="00807E5D"/>
    <w:rsid w:val="0081000F"/>
    <w:rsid w:val="00810AD4"/>
    <w:rsid w:val="008126EE"/>
    <w:rsid w:val="00812C90"/>
    <w:rsid w:val="00813028"/>
    <w:rsid w:val="00813464"/>
    <w:rsid w:val="00813557"/>
    <w:rsid w:val="008159CA"/>
    <w:rsid w:val="008164B2"/>
    <w:rsid w:val="00816AF0"/>
    <w:rsid w:val="008202E1"/>
    <w:rsid w:val="008217FA"/>
    <w:rsid w:val="008227F6"/>
    <w:rsid w:val="0082286C"/>
    <w:rsid w:val="008235A6"/>
    <w:rsid w:val="008236F2"/>
    <w:rsid w:val="00823A80"/>
    <w:rsid w:val="00824977"/>
    <w:rsid w:val="00824FCA"/>
    <w:rsid w:val="008253EB"/>
    <w:rsid w:val="00825667"/>
    <w:rsid w:val="0082629F"/>
    <w:rsid w:val="00826F63"/>
    <w:rsid w:val="00827336"/>
    <w:rsid w:val="0083022D"/>
    <w:rsid w:val="008306FF"/>
    <w:rsid w:val="00831ADD"/>
    <w:rsid w:val="008320C0"/>
    <w:rsid w:val="00832659"/>
    <w:rsid w:val="00833921"/>
    <w:rsid w:val="00833F19"/>
    <w:rsid w:val="00834333"/>
    <w:rsid w:val="00834381"/>
    <w:rsid w:val="00834667"/>
    <w:rsid w:val="0083526D"/>
    <w:rsid w:val="0083529E"/>
    <w:rsid w:val="00835404"/>
    <w:rsid w:val="00835F81"/>
    <w:rsid w:val="008360EB"/>
    <w:rsid w:val="00836724"/>
    <w:rsid w:val="00836E97"/>
    <w:rsid w:val="008409D4"/>
    <w:rsid w:val="00840FF1"/>
    <w:rsid w:val="00841702"/>
    <w:rsid w:val="00841D1F"/>
    <w:rsid w:val="00842E75"/>
    <w:rsid w:val="0084360C"/>
    <w:rsid w:val="00843C11"/>
    <w:rsid w:val="008440BD"/>
    <w:rsid w:val="00844815"/>
    <w:rsid w:val="00844E57"/>
    <w:rsid w:val="00845C19"/>
    <w:rsid w:val="00845CA7"/>
    <w:rsid w:val="00845FCD"/>
    <w:rsid w:val="008460DB"/>
    <w:rsid w:val="0084611C"/>
    <w:rsid w:val="00846541"/>
    <w:rsid w:val="00846999"/>
    <w:rsid w:val="0084729F"/>
    <w:rsid w:val="008500B7"/>
    <w:rsid w:val="0085077D"/>
    <w:rsid w:val="00851C59"/>
    <w:rsid w:val="00852D92"/>
    <w:rsid w:val="0085300D"/>
    <w:rsid w:val="008537EF"/>
    <w:rsid w:val="008556BC"/>
    <w:rsid w:val="00855701"/>
    <w:rsid w:val="00855C18"/>
    <w:rsid w:val="00855C92"/>
    <w:rsid w:val="00856357"/>
    <w:rsid w:val="00857144"/>
    <w:rsid w:val="008574F3"/>
    <w:rsid w:val="0085785A"/>
    <w:rsid w:val="00857C2D"/>
    <w:rsid w:val="00857FDD"/>
    <w:rsid w:val="0086025A"/>
    <w:rsid w:val="008612FE"/>
    <w:rsid w:val="008616BC"/>
    <w:rsid w:val="0086264F"/>
    <w:rsid w:val="0086326E"/>
    <w:rsid w:val="008643B7"/>
    <w:rsid w:val="00864719"/>
    <w:rsid w:val="00864D30"/>
    <w:rsid w:val="00867137"/>
    <w:rsid w:val="008671A2"/>
    <w:rsid w:val="00867337"/>
    <w:rsid w:val="00867532"/>
    <w:rsid w:val="00867D59"/>
    <w:rsid w:val="00870736"/>
    <w:rsid w:val="00870DC4"/>
    <w:rsid w:val="00871293"/>
    <w:rsid w:val="008738AF"/>
    <w:rsid w:val="008739AA"/>
    <w:rsid w:val="00873E90"/>
    <w:rsid w:val="00873F88"/>
    <w:rsid w:val="00873FF1"/>
    <w:rsid w:val="00874300"/>
    <w:rsid w:val="008752FF"/>
    <w:rsid w:val="00875AB8"/>
    <w:rsid w:val="00876150"/>
    <w:rsid w:val="00876270"/>
    <w:rsid w:val="008765C3"/>
    <w:rsid w:val="008767C4"/>
    <w:rsid w:val="00876D0F"/>
    <w:rsid w:val="00877C94"/>
    <w:rsid w:val="00877CD0"/>
    <w:rsid w:val="008819D9"/>
    <w:rsid w:val="0088252A"/>
    <w:rsid w:val="00884693"/>
    <w:rsid w:val="00884C4A"/>
    <w:rsid w:val="00885DFB"/>
    <w:rsid w:val="00886710"/>
    <w:rsid w:val="0089005C"/>
    <w:rsid w:val="008902EF"/>
    <w:rsid w:val="00891122"/>
    <w:rsid w:val="00891A31"/>
    <w:rsid w:val="0089251A"/>
    <w:rsid w:val="0089269A"/>
    <w:rsid w:val="00892D34"/>
    <w:rsid w:val="0089377E"/>
    <w:rsid w:val="00894316"/>
    <w:rsid w:val="00894BC8"/>
    <w:rsid w:val="00894D52"/>
    <w:rsid w:val="008959DB"/>
    <w:rsid w:val="00895E57"/>
    <w:rsid w:val="00895F70"/>
    <w:rsid w:val="008961DE"/>
    <w:rsid w:val="00896363"/>
    <w:rsid w:val="00896DE3"/>
    <w:rsid w:val="00897701"/>
    <w:rsid w:val="00897E5C"/>
    <w:rsid w:val="008A004E"/>
    <w:rsid w:val="008A0684"/>
    <w:rsid w:val="008A189F"/>
    <w:rsid w:val="008A1A75"/>
    <w:rsid w:val="008A277B"/>
    <w:rsid w:val="008A38DB"/>
    <w:rsid w:val="008A39A5"/>
    <w:rsid w:val="008A3C7B"/>
    <w:rsid w:val="008A4395"/>
    <w:rsid w:val="008A4716"/>
    <w:rsid w:val="008A4CAB"/>
    <w:rsid w:val="008A4E2A"/>
    <w:rsid w:val="008A4E40"/>
    <w:rsid w:val="008A56CA"/>
    <w:rsid w:val="008A5D3E"/>
    <w:rsid w:val="008A5E72"/>
    <w:rsid w:val="008A62D2"/>
    <w:rsid w:val="008B09D9"/>
    <w:rsid w:val="008B0D4C"/>
    <w:rsid w:val="008B15F0"/>
    <w:rsid w:val="008B17FD"/>
    <w:rsid w:val="008B1AAE"/>
    <w:rsid w:val="008B1C3A"/>
    <w:rsid w:val="008B2326"/>
    <w:rsid w:val="008B23AF"/>
    <w:rsid w:val="008B2DDD"/>
    <w:rsid w:val="008B3703"/>
    <w:rsid w:val="008B3B02"/>
    <w:rsid w:val="008B5050"/>
    <w:rsid w:val="008B524A"/>
    <w:rsid w:val="008B53B4"/>
    <w:rsid w:val="008B5995"/>
    <w:rsid w:val="008B736E"/>
    <w:rsid w:val="008C0699"/>
    <w:rsid w:val="008C0CB5"/>
    <w:rsid w:val="008C1E66"/>
    <w:rsid w:val="008C28F6"/>
    <w:rsid w:val="008C2AD3"/>
    <w:rsid w:val="008C309F"/>
    <w:rsid w:val="008C31FB"/>
    <w:rsid w:val="008C38C4"/>
    <w:rsid w:val="008C3C9E"/>
    <w:rsid w:val="008C40C1"/>
    <w:rsid w:val="008C464A"/>
    <w:rsid w:val="008C4E1C"/>
    <w:rsid w:val="008C5178"/>
    <w:rsid w:val="008C59B9"/>
    <w:rsid w:val="008C5DD1"/>
    <w:rsid w:val="008C5E76"/>
    <w:rsid w:val="008C6992"/>
    <w:rsid w:val="008C7603"/>
    <w:rsid w:val="008D013F"/>
    <w:rsid w:val="008D01A2"/>
    <w:rsid w:val="008D0B02"/>
    <w:rsid w:val="008D0C5E"/>
    <w:rsid w:val="008D0EE8"/>
    <w:rsid w:val="008D1177"/>
    <w:rsid w:val="008D2F8F"/>
    <w:rsid w:val="008D35B0"/>
    <w:rsid w:val="008D37AF"/>
    <w:rsid w:val="008D37FD"/>
    <w:rsid w:val="008D3E60"/>
    <w:rsid w:val="008D4045"/>
    <w:rsid w:val="008D4518"/>
    <w:rsid w:val="008D4E0D"/>
    <w:rsid w:val="008D589C"/>
    <w:rsid w:val="008D75C2"/>
    <w:rsid w:val="008D7688"/>
    <w:rsid w:val="008E1569"/>
    <w:rsid w:val="008E299D"/>
    <w:rsid w:val="008E38A0"/>
    <w:rsid w:val="008E39CA"/>
    <w:rsid w:val="008E4FFD"/>
    <w:rsid w:val="008E518A"/>
    <w:rsid w:val="008E55C6"/>
    <w:rsid w:val="008E6E8B"/>
    <w:rsid w:val="008E7658"/>
    <w:rsid w:val="008F10D9"/>
    <w:rsid w:val="008F22C3"/>
    <w:rsid w:val="008F2D33"/>
    <w:rsid w:val="008F2DAB"/>
    <w:rsid w:val="008F31F6"/>
    <w:rsid w:val="008F39B4"/>
    <w:rsid w:val="008F4FBB"/>
    <w:rsid w:val="008F5412"/>
    <w:rsid w:val="008F59A0"/>
    <w:rsid w:val="008F5AD2"/>
    <w:rsid w:val="008F6A09"/>
    <w:rsid w:val="008F7617"/>
    <w:rsid w:val="008F7B21"/>
    <w:rsid w:val="008F7EBA"/>
    <w:rsid w:val="0090110D"/>
    <w:rsid w:val="0090195D"/>
    <w:rsid w:val="00901C2E"/>
    <w:rsid w:val="0090255C"/>
    <w:rsid w:val="009028F9"/>
    <w:rsid w:val="00903B5E"/>
    <w:rsid w:val="00903DBB"/>
    <w:rsid w:val="00904B49"/>
    <w:rsid w:val="00904B76"/>
    <w:rsid w:val="00904D1B"/>
    <w:rsid w:val="0090600E"/>
    <w:rsid w:val="009067C1"/>
    <w:rsid w:val="00907491"/>
    <w:rsid w:val="00907C9D"/>
    <w:rsid w:val="009100B6"/>
    <w:rsid w:val="0091094C"/>
    <w:rsid w:val="00910D46"/>
    <w:rsid w:val="00911A1B"/>
    <w:rsid w:val="00911EFC"/>
    <w:rsid w:val="0091264E"/>
    <w:rsid w:val="00912B1F"/>
    <w:rsid w:val="0091326C"/>
    <w:rsid w:val="00913C49"/>
    <w:rsid w:val="00913DEE"/>
    <w:rsid w:val="009143C8"/>
    <w:rsid w:val="00915D8B"/>
    <w:rsid w:val="009170F1"/>
    <w:rsid w:val="009218ED"/>
    <w:rsid w:val="0092226B"/>
    <w:rsid w:val="00922AF7"/>
    <w:rsid w:val="00922EDB"/>
    <w:rsid w:val="00923560"/>
    <w:rsid w:val="00923D2E"/>
    <w:rsid w:val="00923EA8"/>
    <w:rsid w:val="0092496B"/>
    <w:rsid w:val="00924B49"/>
    <w:rsid w:val="00924F37"/>
    <w:rsid w:val="00924F63"/>
    <w:rsid w:val="00925615"/>
    <w:rsid w:val="009261E9"/>
    <w:rsid w:val="009306AF"/>
    <w:rsid w:val="0093122E"/>
    <w:rsid w:val="009328D9"/>
    <w:rsid w:val="009328FA"/>
    <w:rsid w:val="00932DAB"/>
    <w:rsid w:val="00933FE9"/>
    <w:rsid w:val="00934309"/>
    <w:rsid w:val="009347A4"/>
    <w:rsid w:val="00934CB1"/>
    <w:rsid w:val="009358FF"/>
    <w:rsid w:val="009360E3"/>
    <w:rsid w:val="00936155"/>
    <w:rsid w:val="00936577"/>
    <w:rsid w:val="009368A8"/>
    <w:rsid w:val="009372A4"/>
    <w:rsid w:val="009376DD"/>
    <w:rsid w:val="00937FB7"/>
    <w:rsid w:val="0094097F"/>
    <w:rsid w:val="00941695"/>
    <w:rsid w:val="009437EF"/>
    <w:rsid w:val="00943DCF"/>
    <w:rsid w:val="009443E4"/>
    <w:rsid w:val="00944641"/>
    <w:rsid w:val="0094545A"/>
    <w:rsid w:val="00945F35"/>
    <w:rsid w:val="00947B7D"/>
    <w:rsid w:val="00950DE1"/>
    <w:rsid w:val="00951E2C"/>
    <w:rsid w:val="00952C4C"/>
    <w:rsid w:val="009537B4"/>
    <w:rsid w:val="009552BE"/>
    <w:rsid w:val="00955EAD"/>
    <w:rsid w:val="009560FF"/>
    <w:rsid w:val="009570AF"/>
    <w:rsid w:val="009578F6"/>
    <w:rsid w:val="00957A92"/>
    <w:rsid w:val="00957EAB"/>
    <w:rsid w:val="00960917"/>
    <w:rsid w:val="00960D80"/>
    <w:rsid w:val="0096146D"/>
    <w:rsid w:val="00961A29"/>
    <w:rsid w:val="0096294F"/>
    <w:rsid w:val="009636DA"/>
    <w:rsid w:val="009638EA"/>
    <w:rsid w:val="00964285"/>
    <w:rsid w:val="009644DB"/>
    <w:rsid w:val="009647EA"/>
    <w:rsid w:val="00964853"/>
    <w:rsid w:val="00965345"/>
    <w:rsid w:val="00965822"/>
    <w:rsid w:val="009661A6"/>
    <w:rsid w:val="009661CC"/>
    <w:rsid w:val="009675FB"/>
    <w:rsid w:val="009719B9"/>
    <w:rsid w:val="00971C3D"/>
    <w:rsid w:val="00972338"/>
    <w:rsid w:val="00972E7D"/>
    <w:rsid w:val="009731FE"/>
    <w:rsid w:val="00973974"/>
    <w:rsid w:val="00974642"/>
    <w:rsid w:val="00975F51"/>
    <w:rsid w:val="00976C53"/>
    <w:rsid w:val="00976D4A"/>
    <w:rsid w:val="009779B0"/>
    <w:rsid w:val="009806A9"/>
    <w:rsid w:val="00980BAF"/>
    <w:rsid w:val="009812B4"/>
    <w:rsid w:val="009814CF"/>
    <w:rsid w:val="00982631"/>
    <w:rsid w:val="00982A1C"/>
    <w:rsid w:val="0098346A"/>
    <w:rsid w:val="0098428F"/>
    <w:rsid w:val="00984C55"/>
    <w:rsid w:val="00984EDA"/>
    <w:rsid w:val="009853FE"/>
    <w:rsid w:val="00985480"/>
    <w:rsid w:val="0098570C"/>
    <w:rsid w:val="009858FF"/>
    <w:rsid w:val="00985D26"/>
    <w:rsid w:val="0098617A"/>
    <w:rsid w:val="009862A8"/>
    <w:rsid w:val="00986C0C"/>
    <w:rsid w:val="009871EB"/>
    <w:rsid w:val="00987444"/>
    <w:rsid w:val="00990175"/>
    <w:rsid w:val="009908B6"/>
    <w:rsid w:val="00990CFF"/>
    <w:rsid w:val="00991160"/>
    <w:rsid w:val="00991980"/>
    <w:rsid w:val="00991A5B"/>
    <w:rsid w:val="00992767"/>
    <w:rsid w:val="0099332F"/>
    <w:rsid w:val="00993890"/>
    <w:rsid w:val="00993FE3"/>
    <w:rsid w:val="009944BD"/>
    <w:rsid w:val="00995984"/>
    <w:rsid w:val="00996590"/>
    <w:rsid w:val="00997C2B"/>
    <w:rsid w:val="00997E93"/>
    <w:rsid w:val="009A3C5D"/>
    <w:rsid w:val="009A5EFA"/>
    <w:rsid w:val="009A6DB1"/>
    <w:rsid w:val="009A7131"/>
    <w:rsid w:val="009A7CD5"/>
    <w:rsid w:val="009A7E4B"/>
    <w:rsid w:val="009B05C4"/>
    <w:rsid w:val="009B118E"/>
    <w:rsid w:val="009B14CF"/>
    <w:rsid w:val="009B17C5"/>
    <w:rsid w:val="009B1981"/>
    <w:rsid w:val="009B1E97"/>
    <w:rsid w:val="009B210F"/>
    <w:rsid w:val="009B2AF2"/>
    <w:rsid w:val="009B2D2B"/>
    <w:rsid w:val="009B338B"/>
    <w:rsid w:val="009B3B9D"/>
    <w:rsid w:val="009B4C3B"/>
    <w:rsid w:val="009B5C6B"/>
    <w:rsid w:val="009B6301"/>
    <w:rsid w:val="009B6320"/>
    <w:rsid w:val="009C0330"/>
    <w:rsid w:val="009C0343"/>
    <w:rsid w:val="009C0871"/>
    <w:rsid w:val="009C211E"/>
    <w:rsid w:val="009C2D1C"/>
    <w:rsid w:val="009C3D76"/>
    <w:rsid w:val="009C5872"/>
    <w:rsid w:val="009C5F9B"/>
    <w:rsid w:val="009C665A"/>
    <w:rsid w:val="009C7193"/>
    <w:rsid w:val="009C75AB"/>
    <w:rsid w:val="009D04C2"/>
    <w:rsid w:val="009D062E"/>
    <w:rsid w:val="009D26E7"/>
    <w:rsid w:val="009D2848"/>
    <w:rsid w:val="009D2B33"/>
    <w:rsid w:val="009D331B"/>
    <w:rsid w:val="009D35DD"/>
    <w:rsid w:val="009D4E99"/>
    <w:rsid w:val="009D6550"/>
    <w:rsid w:val="009D699B"/>
    <w:rsid w:val="009D7133"/>
    <w:rsid w:val="009D76A6"/>
    <w:rsid w:val="009D7ACD"/>
    <w:rsid w:val="009D7CB8"/>
    <w:rsid w:val="009E028A"/>
    <w:rsid w:val="009E03F5"/>
    <w:rsid w:val="009E0C98"/>
    <w:rsid w:val="009E16E0"/>
    <w:rsid w:val="009E1F3D"/>
    <w:rsid w:val="009E1FCD"/>
    <w:rsid w:val="009E3900"/>
    <w:rsid w:val="009E3B94"/>
    <w:rsid w:val="009E4566"/>
    <w:rsid w:val="009E5104"/>
    <w:rsid w:val="009E52A2"/>
    <w:rsid w:val="009E62C0"/>
    <w:rsid w:val="009E6458"/>
    <w:rsid w:val="009E64C2"/>
    <w:rsid w:val="009F06FF"/>
    <w:rsid w:val="009F0891"/>
    <w:rsid w:val="009F13DE"/>
    <w:rsid w:val="009F1689"/>
    <w:rsid w:val="009F1C56"/>
    <w:rsid w:val="009F2C1C"/>
    <w:rsid w:val="009F3B1C"/>
    <w:rsid w:val="009F3E54"/>
    <w:rsid w:val="009F4684"/>
    <w:rsid w:val="009F4B29"/>
    <w:rsid w:val="009F5CCE"/>
    <w:rsid w:val="00A0032E"/>
    <w:rsid w:val="00A009CD"/>
    <w:rsid w:val="00A00BCD"/>
    <w:rsid w:val="00A02A73"/>
    <w:rsid w:val="00A02F3E"/>
    <w:rsid w:val="00A035F1"/>
    <w:rsid w:val="00A03F17"/>
    <w:rsid w:val="00A04D77"/>
    <w:rsid w:val="00A05890"/>
    <w:rsid w:val="00A058C3"/>
    <w:rsid w:val="00A059CB"/>
    <w:rsid w:val="00A068A7"/>
    <w:rsid w:val="00A06A7C"/>
    <w:rsid w:val="00A07B89"/>
    <w:rsid w:val="00A10030"/>
    <w:rsid w:val="00A10400"/>
    <w:rsid w:val="00A1069E"/>
    <w:rsid w:val="00A10759"/>
    <w:rsid w:val="00A10AB9"/>
    <w:rsid w:val="00A10C1E"/>
    <w:rsid w:val="00A10EC6"/>
    <w:rsid w:val="00A10ED8"/>
    <w:rsid w:val="00A11E8B"/>
    <w:rsid w:val="00A121F8"/>
    <w:rsid w:val="00A12275"/>
    <w:rsid w:val="00A125BD"/>
    <w:rsid w:val="00A12E91"/>
    <w:rsid w:val="00A13F2A"/>
    <w:rsid w:val="00A14C9D"/>
    <w:rsid w:val="00A14F19"/>
    <w:rsid w:val="00A15970"/>
    <w:rsid w:val="00A16EB6"/>
    <w:rsid w:val="00A16F05"/>
    <w:rsid w:val="00A17022"/>
    <w:rsid w:val="00A17245"/>
    <w:rsid w:val="00A20170"/>
    <w:rsid w:val="00A20862"/>
    <w:rsid w:val="00A20C3D"/>
    <w:rsid w:val="00A2121B"/>
    <w:rsid w:val="00A212B6"/>
    <w:rsid w:val="00A22000"/>
    <w:rsid w:val="00A23405"/>
    <w:rsid w:val="00A23414"/>
    <w:rsid w:val="00A238BC"/>
    <w:rsid w:val="00A243FC"/>
    <w:rsid w:val="00A253BA"/>
    <w:rsid w:val="00A25916"/>
    <w:rsid w:val="00A25A83"/>
    <w:rsid w:val="00A266FE"/>
    <w:rsid w:val="00A26EB3"/>
    <w:rsid w:val="00A276C9"/>
    <w:rsid w:val="00A27870"/>
    <w:rsid w:val="00A27FF8"/>
    <w:rsid w:val="00A3017B"/>
    <w:rsid w:val="00A31629"/>
    <w:rsid w:val="00A316D0"/>
    <w:rsid w:val="00A32809"/>
    <w:rsid w:val="00A32C4C"/>
    <w:rsid w:val="00A32C83"/>
    <w:rsid w:val="00A346DE"/>
    <w:rsid w:val="00A347A7"/>
    <w:rsid w:val="00A35A41"/>
    <w:rsid w:val="00A35D79"/>
    <w:rsid w:val="00A362A5"/>
    <w:rsid w:val="00A36646"/>
    <w:rsid w:val="00A372F1"/>
    <w:rsid w:val="00A37CE0"/>
    <w:rsid w:val="00A412C9"/>
    <w:rsid w:val="00A4217F"/>
    <w:rsid w:val="00A4259A"/>
    <w:rsid w:val="00A42AC7"/>
    <w:rsid w:val="00A4400C"/>
    <w:rsid w:val="00A4471B"/>
    <w:rsid w:val="00A44F69"/>
    <w:rsid w:val="00A45073"/>
    <w:rsid w:val="00A452F6"/>
    <w:rsid w:val="00A45716"/>
    <w:rsid w:val="00A473A0"/>
    <w:rsid w:val="00A477DB"/>
    <w:rsid w:val="00A50899"/>
    <w:rsid w:val="00A50ED4"/>
    <w:rsid w:val="00A516E5"/>
    <w:rsid w:val="00A52005"/>
    <w:rsid w:val="00A52DCB"/>
    <w:rsid w:val="00A537F3"/>
    <w:rsid w:val="00A54045"/>
    <w:rsid w:val="00A546EF"/>
    <w:rsid w:val="00A54781"/>
    <w:rsid w:val="00A55947"/>
    <w:rsid w:val="00A55D7E"/>
    <w:rsid w:val="00A565B6"/>
    <w:rsid w:val="00A56A44"/>
    <w:rsid w:val="00A56D15"/>
    <w:rsid w:val="00A5737E"/>
    <w:rsid w:val="00A576A2"/>
    <w:rsid w:val="00A60315"/>
    <w:rsid w:val="00A60772"/>
    <w:rsid w:val="00A60B65"/>
    <w:rsid w:val="00A60C4B"/>
    <w:rsid w:val="00A615CA"/>
    <w:rsid w:val="00A61827"/>
    <w:rsid w:val="00A61A60"/>
    <w:rsid w:val="00A62805"/>
    <w:rsid w:val="00A62ED6"/>
    <w:rsid w:val="00A63726"/>
    <w:rsid w:val="00A63F6E"/>
    <w:rsid w:val="00A64056"/>
    <w:rsid w:val="00A64065"/>
    <w:rsid w:val="00A64ACC"/>
    <w:rsid w:val="00A653A7"/>
    <w:rsid w:val="00A65FAB"/>
    <w:rsid w:val="00A66A94"/>
    <w:rsid w:val="00A66FF1"/>
    <w:rsid w:val="00A7032F"/>
    <w:rsid w:val="00A705C4"/>
    <w:rsid w:val="00A709AA"/>
    <w:rsid w:val="00A7106B"/>
    <w:rsid w:val="00A71781"/>
    <w:rsid w:val="00A7229C"/>
    <w:rsid w:val="00A72B86"/>
    <w:rsid w:val="00A72BE8"/>
    <w:rsid w:val="00A72CFF"/>
    <w:rsid w:val="00A73447"/>
    <w:rsid w:val="00A735AA"/>
    <w:rsid w:val="00A73AD4"/>
    <w:rsid w:val="00A747EF"/>
    <w:rsid w:val="00A74A26"/>
    <w:rsid w:val="00A75BAB"/>
    <w:rsid w:val="00A767E7"/>
    <w:rsid w:val="00A80356"/>
    <w:rsid w:val="00A81397"/>
    <w:rsid w:val="00A81603"/>
    <w:rsid w:val="00A81944"/>
    <w:rsid w:val="00A81A94"/>
    <w:rsid w:val="00A81B81"/>
    <w:rsid w:val="00A830DF"/>
    <w:rsid w:val="00A831CF"/>
    <w:rsid w:val="00A83256"/>
    <w:rsid w:val="00A835AA"/>
    <w:rsid w:val="00A83699"/>
    <w:rsid w:val="00A84503"/>
    <w:rsid w:val="00A846A9"/>
    <w:rsid w:val="00A84975"/>
    <w:rsid w:val="00A84C74"/>
    <w:rsid w:val="00A84D86"/>
    <w:rsid w:val="00A85A57"/>
    <w:rsid w:val="00A85B15"/>
    <w:rsid w:val="00A85F2C"/>
    <w:rsid w:val="00A866F3"/>
    <w:rsid w:val="00A87B8C"/>
    <w:rsid w:val="00A91300"/>
    <w:rsid w:val="00A91C05"/>
    <w:rsid w:val="00A92AE9"/>
    <w:rsid w:val="00A93B99"/>
    <w:rsid w:val="00A94732"/>
    <w:rsid w:val="00A961F2"/>
    <w:rsid w:val="00A963A5"/>
    <w:rsid w:val="00A966F3"/>
    <w:rsid w:val="00A96820"/>
    <w:rsid w:val="00A96B69"/>
    <w:rsid w:val="00A96D52"/>
    <w:rsid w:val="00A97273"/>
    <w:rsid w:val="00A973E7"/>
    <w:rsid w:val="00AA051A"/>
    <w:rsid w:val="00AA0B25"/>
    <w:rsid w:val="00AA15FA"/>
    <w:rsid w:val="00AA1A96"/>
    <w:rsid w:val="00AA1E6C"/>
    <w:rsid w:val="00AA393A"/>
    <w:rsid w:val="00AA3E8B"/>
    <w:rsid w:val="00AA4C2D"/>
    <w:rsid w:val="00AA5F50"/>
    <w:rsid w:val="00AA6755"/>
    <w:rsid w:val="00AA6B1C"/>
    <w:rsid w:val="00AA733F"/>
    <w:rsid w:val="00AB00E7"/>
    <w:rsid w:val="00AB02F3"/>
    <w:rsid w:val="00AB0495"/>
    <w:rsid w:val="00AB1C7E"/>
    <w:rsid w:val="00AB2328"/>
    <w:rsid w:val="00AB2F4B"/>
    <w:rsid w:val="00AB3520"/>
    <w:rsid w:val="00AB535B"/>
    <w:rsid w:val="00AB554C"/>
    <w:rsid w:val="00AB6399"/>
    <w:rsid w:val="00AB6533"/>
    <w:rsid w:val="00AB6E62"/>
    <w:rsid w:val="00AB71DA"/>
    <w:rsid w:val="00AB744F"/>
    <w:rsid w:val="00AB770F"/>
    <w:rsid w:val="00AC08E3"/>
    <w:rsid w:val="00AC0941"/>
    <w:rsid w:val="00AC0A51"/>
    <w:rsid w:val="00AC0CC3"/>
    <w:rsid w:val="00AC31A9"/>
    <w:rsid w:val="00AC31AD"/>
    <w:rsid w:val="00AC393E"/>
    <w:rsid w:val="00AC3A70"/>
    <w:rsid w:val="00AC4A8E"/>
    <w:rsid w:val="00AC5384"/>
    <w:rsid w:val="00AC5457"/>
    <w:rsid w:val="00AC5F0B"/>
    <w:rsid w:val="00AC63B8"/>
    <w:rsid w:val="00AC6747"/>
    <w:rsid w:val="00AD0959"/>
    <w:rsid w:val="00AD0F83"/>
    <w:rsid w:val="00AD1181"/>
    <w:rsid w:val="00AD15F5"/>
    <w:rsid w:val="00AD508A"/>
    <w:rsid w:val="00AD54DB"/>
    <w:rsid w:val="00AD5813"/>
    <w:rsid w:val="00AD5B18"/>
    <w:rsid w:val="00AD6093"/>
    <w:rsid w:val="00AD6B57"/>
    <w:rsid w:val="00AD703B"/>
    <w:rsid w:val="00AD75B4"/>
    <w:rsid w:val="00AD77D7"/>
    <w:rsid w:val="00AD7A36"/>
    <w:rsid w:val="00AD7FD2"/>
    <w:rsid w:val="00AE00D9"/>
    <w:rsid w:val="00AE0591"/>
    <w:rsid w:val="00AE3C8C"/>
    <w:rsid w:val="00AE3E12"/>
    <w:rsid w:val="00AE4D35"/>
    <w:rsid w:val="00AE670B"/>
    <w:rsid w:val="00AE6E85"/>
    <w:rsid w:val="00AE72C7"/>
    <w:rsid w:val="00AF1047"/>
    <w:rsid w:val="00AF1950"/>
    <w:rsid w:val="00AF1B6A"/>
    <w:rsid w:val="00AF1CE3"/>
    <w:rsid w:val="00AF2E0B"/>
    <w:rsid w:val="00AF3B28"/>
    <w:rsid w:val="00AF3E70"/>
    <w:rsid w:val="00AF407C"/>
    <w:rsid w:val="00AF4755"/>
    <w:rsid w:val="00AF6926"/>
    <w:rsid w:val="00AF768D"/>
    <w:rsid w:val="00AF7B8B"/>
    <w:rsid w:val="00B0024B"/>
    <w:rsid w:val="00B004B2"/>
    <w:rsid w:val="00B00CEC"/>
    <w:rsid w:val="00B011B3"/>
    <w:rsid w:val="00B013EC"/>
    <w:rsid w:val="00B04051"/>
    <w:rsid w:val="00B040AB"/>
    <w:rsid w:val="00B05B16"/>
    <w:rsid w:val="00B1014C"/>
    <w:rsid w:val="00B101AC"/>
    <w:rsid w:val="00B1085E"/>
    <w:rsid w:val="00B10865"/>
    <w:rsid w:val="00B11105"/>
    <w:rsid w:val="00B111A4"/>
    <w:rsid w:val="00B1190E"/>
    <w:rsid w:val="00B124A9"/>
    <w:rsid w:val="00B12929"/>
    <w:rsid w:val="00B13A0F"/>
    <w:rsid w:val="00B13FF3"/>
    <w:rsid w:val="00B14C40"/>
    <w:rsid w:val="00B154AD"/>
    <w:rsid w:val="00B155C2"/>
    <w:rsid w:val="00B15EED"/>
    <w:rsid w:val="00B16E82"/>
    <w:rsid w:val="00B172D3"/>
    <w:rsid w:val="00B174BA"/>
    <w:rsid w:val="00B17AD9"/>
    <w:rsid w:val="00B17B7C"/>
    <w:rsid w:val="00B17DE6"/>
    <w:rsid w:val="00B22273"/>
    <w:rsid w:val="00B22F96"/>
    <w:rsid w:val="00B2386F"/>
    <w:rsid w:val="00B23A2E"/>
    <w:rsid w:val="00B24057"/>
    <w:rsid w:val="00B244D2"/>
    <w:rsid w:val="00B24DE3"/>
    <w:rsid w:val="00B25636"/>
    <w:rsid w:val="00B262C5"/>
    <w:rsid w:val="00B26B83"/>
    <w:rsid w:val="00B270F1"/>
    <w:rsid w:val="00B27BE6"/>
    <w:rsid w:val="00B3184F"/>
    <w:rsid w:val="00B318E4"/>
    <w:rsid w:val="00B31AA7"/>
    <w:rsid w:val="00B32731"/>
    <w:rsid w:val="00B33162"/>
    <w:rsid w:val="00B33206"/>
    <w:rsid w:val="00B33388"/>
    <w:rsid w:val="00B33611"/>
    <w:rsid w:val="00B33C2C"/>
    <w:rsid w:val="00B34F91"/>
    <w:rsid w:val="00B3511E"/>
    <w:rsid w:val="00B356AE"/>
    <w:rsid w:val="00B35E09"/>
    <w:rsid w:val="00B36377"/>
    <w:rsid w:val="00B366C0"/>
    <w:rsid w:val="00B370D8"/>
    <w:rsid w:val="00B37298"/>
    <w:rsid w:val="00B40047"/>
    <w:rsid w:val="00B406AA"/>
    <w:rsid w:val="00B40C13"/>
    <w:rsid w:val="00B41E08"/>
    <w:rsid w:val="00B4282B"/>
    <w:rsid w:val="00B42CB4"/>
    <w:rsid w:val="00B42F7E"/>
    <w:rsid w:val="00B43648"/>
    <w:rsid w:val="00B44D20"/>
    <w:rsid w:val="00B45E79"/>
    <w:rsid w:val="00B45FEC"/>
    <w:rsid w:val="00B46524"/>
    <w:rsid w:val="00B466AA"/>
    <w:rsid w:val="00B46AD1"/>
    <w:rsid w:val="00B46E15"/>
    <w:rsid w:val="00B46FF4"/>
    <w:rsid w:val="00B4713B"/>
    <w:rsid w:val="00B47463"/>
    <w:rsid w:val="00B477F7"/>
    <w:rsid w:val="00B47B82"/>
    <w:rsid w:val="00B50385"/>
    <w:rsid w:val="00B5074A"/>
    <w:rsid w:val="00B50BB8"/>
    <w:rsid w:val="00B519EC"/>
    <w:rsid w:val="00B51D12"/>
    <w:rsid w:val="00B534F5"/>
    <w:rsid w:val="00B53B01"/>
    <w:rsid w:val="00B53C6F"/>
    <w:rsid w:val="00B54E63"/>
    <w:rsid w:val="00B54E8E"/>
    <w:rsid w:val="00B55365"/>
    <w:rsid w:val="00B56A02"/>
    <w:rsid w:val="00B56DE1"/>
    <w:rsid w:val="00B576EE"/>
    <w:rsid w:val="00B57706"/>
    <w:rsid w:val="00B577F1"/>
    <w:rsid w:val="00B604BC"/>
    <w:rsid w:val="00B60553"/>
    <w:rsid w:val="00B60DD3"/>
    <w:rsid w:val="00B615CE"/>
    <w:rsid w:val="00B61F01"/>
    <w:rsid w:val="00B627BF"/>
    <w:rsid w:val="00B62E77"/>
    <w:rsid w:val="00B63527"/>
    <w:rsid w:val="00B6412F"/>
    <w:rsid w:val="00B6427B"/>
    <w:rsid w:val="00B642B9"/>
    <w:rsid w:val="00B643F7"/>
    <w:rsid w:val="00B666F0"/>
    <w:rsid w:val="00B66A9B"/>
    <w:rsid w:val="00B6715F"/>
    <w:rsid w:val="00B6789E"/>
    <w:rsid w:val="00B700CF"/>
    <w:rsid w:val="00B70DB5"/>
    <w:rsid w:val="00B713F9"/>
    <w:rsid w:val="00B7187E"/>
    <w:rsid w:val="00B721CC"/>
    <w:rsid w:val="00B72E89"/>
    <w:rsid w:val="00B73CD6"/>
    <w:rsid w:val="00B758E1"/>
    <w:rsid w:val="00B7668C"/>
    <w:rsid w:val="00B770F7"/>
    <w:rsid w:val="00B8072C"/>
    <w:rsid w:val="00B820ED"/>
    <w:rsid w:val="00B8266E"/>
    <w:rsid w:val="00B82C60"/>
    <w:rsid w:val="00B845F8"/>
    <w:rsid w:val="00B84BFA"/>
    <w:rsid w:val="00B84CEC"/>
    <w:rsid w:val="00B85176"/>
    <w:rsid w:val="00B85630"/>
    <w:rsid w:val="00B85A26"/>
    <w:rsid w:val="00B8755C"/>
    <w:rsid w:val="00B87892"/>
    <w:rsid w:val="00B90898"/>
    <w:rsid w:val="00B908A8"/>
    <w:rsid w:val="00B90F95"/>
    <w:rsid w:val="00B91465"/>
    <w:rsid w:val="00B916DB"/>
    <w:rsid w:val="00B92128"/>
    <w:rsid w:val="00B92493"/>
    <w:rsid w:val="00B927B6"/>
    <w:rsid w:val="00B94068"/>
    <w:rsid w:val="00B942D7"/>
    <w:rsid w:val="00B942E1"/>
    <w:rsid w:val="00B9438B"/>
    <w:rsid w:val="00B946FE"/>
    <w:rsid w:val="00B953D2"/>
    <w:rsid w:val="00B95627"/>
    <w:rsid w:val="00B9576F"/>
    <w:rsid w:val="00B95DAF"/>
    <w:rsid w:val="00B96110"/>
    <w:rsid w:val="00B97A7B"/>
    <w:rsid w:val="00BA02BD"/>
    <w:rsid w:val="00BA07FF"/>
    <w:rsid w:val="00BA0E9F"/>
    <w:rsid w:val="00BA2A43"/>
    <w:rsid w:val="00BA3A19"/>
    <w:rsid w:val="00BA41B1"/>
    <w:rsid w:val="00BA4242"/>
    <w:rsid w:val="00BA42AD"/>
    <w:rsid w:val="00BA436E"/>
    <w:rsid w:val="00BA4595"/>
    <w:rsid w:val="00BA5321"/>
    <w:rsid w:val="00BA58C4"/>
    <w:rsid w:val="00BA61E4"/>
    <w:rsid w:val="00BA6395"/>
    <w:rsid w:val="00BA7E2C"/>
    <w:rsid w:val="00BB0B20"/>
    <w:rsid w:val="00BB10CD"/>
    <w:rsid w:val="00BB127B"/>
    <w:rsid w:val="00BB322F"/>
    <w:rsid w:val="00BB58F8"/>
    <w:rsid w:val="00BB6EA8"/>
    <w:rsid w:val="00BC0483"/>
    <w:rsid w:val="00BC1807"/>
    <w:rsid w:val="00BC18C2"/>
    <w:rsid w:val="00BC2678"/>
    <w:rsid w:val="00BC2772"/>
    <w:rsid w:val="00BC367C"/>
    <w:rsid w:val="00BC3951"/>
    <w:rsid w:val="00BC3ECB"/>
    <w:rsid w:val="00BC421A"/>
    <w:rsid w:val="00BC5020"/>
    <w:rsid w:val="00BC5466"/>
    <w:rsid w:val="00BC5F27"/>
    <w:rsid w:val="00BC6F0C"/>
    <w:rsid w:val="00BC75FA"/>
    <w:rsid w:val="00BC77BB"/>
    <w:rsid w:val="00BD0160"/>
    <w:rsid w:val="00BD167F"/>
    <w:rsid w:val="00BD19C1"/>
    <w:rsid w:val="00BD1E80"/>
    <w:rsid w:val="00BD1F2A"/>
    <w:rsid w:val="00BD2E90"/>
    <w:rsid w:val="00BD2F6F"/>
    <w:rsid w:val="00BD3E9A"/>
    <w:rsid w:val="00BD4627"/>
    <w:rsid w:val="00BD52FB"/>
    <w:rsid w:val="00BD65D7"/>
    <w:rsid w:val="00BD6EFB"/>
    <w:rsid w:val="00BE01FB"/>
    <w:rsid w:val="00BE0565"/>
    <w:rsid w:val="00BE0934"/>
    <w:rsid w:val="00BE126C"/>
    <w:rsid w:val="00BE1985"/>
    <w:rsid w:val="00BE1E20"/>
    <w:rsid w:val="00BE234D"/>
    <w:rsid w:val="00BE25A8"/>
    <w:rsid w:val="00BE2906"/>
    <w:rsid w:val="00BE293A"/>
    <w:rsid w:val="00BE321E"/>
    <w:rsid w:val="00BE3A47"/>
    <w:rsid w:val="00BE3CF7"/>
    <w:rsid w:val="00BE5C86"/>
    <w:rsid w:val="00BE5F1F"/>
    <w:rsid w:val="00BE670E"/>
    <w:rsid w:val="00BE6E24"/>
    <w:rsid w:val="00BE71C7"/>
    <w:rsid w:val="00BE7269"/>
    <w:rsid w:val="00BE789A"/>
    <w:rsid w:val="00BF028F"/>
    <w:rsid w:val="00BF0396"/>
    <w:rsid w:val="00BF1A89"/>
    <w:rsid w:val="00BF2057"/>
    <w:rsid w:val="00BF2A3B"/>
    <w:rsid w:val="00BF2CEA"/>
    <w:rsid w:val="00BF3242"/>
    <w:rsid w:val="00BF3425"/>
    <w:rsid w:val="00BF402A"/>
    <w:rsid w:val="00BF4F5E"/>
    <w:rsid w:val="00BF5935"/>
    <w:rsid w:val="00BF6383"/>
    <w:rsid w:val="00BF6739"/>
    <w:rsid w:val="00BF6C66"/>
    <w:rsid w:val="00BF7043"/>
    <w:rsid w:val="00C0044C"/>
    <w:rsid w:val="00C0167F"/>
    <w:rsid w:val="00C025C4"/>
    <w:rsid w:val="00C0349C"/>
    <w:rsid w:val="00C034CC"/>
    <w:rsid w:val="00C03AF9"/>
    <w:rsid w:val="00C03E38"/>
    <w:rsid w:val="00C04293"/>
    <w:rsid w:val="00C05348"/>
    <w:rsid w:val="00C0645C"/>
    <w:rsid w:val="00C06ADF"/>
    <w:rsid w:val="00C0767C"/>
    <w:rsid w:val="00C105A2"/>
    <w:rsid w:val="00C11541"/>
    <w:rsid w:val="00C11C4A"/>
    <w:rsid w:val="00C1213B"/>
    <w:rsid w:val="00C12D2E"/>
    <w:rsid w:val="00C1422F"/>
    <w:rsid w:val="00C1427B"/>
    <w:rsid w:val="00C1453A"/>
    <w:rsid w:val="00C150F6"/>
    <w:rsid w:val="00C156F9"/>
    <w:rsid w:val="00C15777"/>
    <w:rsid w:val="00C16361"/>
    <w:rsid w:val="00C169A4"/>
    <w:rsid w:val="00C17583"/>
    <w:rsid w:val="00C175D9"/>
    <w:rsid w:val="00C22920"/>
    <w:rsid w:val="00C22AC1"/>
    <w:rsid w:val="00C22D3C"/>
    <w:rsid w:val="00C23078"/>
    <w:rsid w:val="00C2325E"/>
    <w:rsid w:val="00C23470"/>
    <w:rsid w:val="00C26695"/>
    <w:rsid w:val="00C2677C"/>
    <w:rsid w:val="00C26AAE"/>
    <w:rsid w:val="00C2769F"/>
    <w:rsid w:val="00C27B26"/>
    <w:rsid w:val="00C27D25"/>
    <w:rsid w:val="00C308A4"/>
    <w:rsid w:val="00C30FBF"/>
    <w:rsid w:val="00C3102A"/>
    <w:rsid w:val="00C31726"/>
    <w:rsid w:val="00C328D3"/>
    <w:rsid w:val="00C329BC"/>
    <w:rsid w:val="00C33EAA"/>
    <w:rsid w:val="00C341F1"/>
    <w:rsid w:val="00C34244"/>
    <w:rsid w:val="00C345E1"/>
    <w:rsid w:val="00C34B29"/>
    <w:rsid w:val="00C3642D"/>
    <w:rsid w:val="00C364C7"/>
    <w:rsid w:val="00C36843"/>
    <w:rsid w:val="00C36C2A"/>
    <w:rsid w:val="00C374D3"/>
    <w:rsid w:val="00C37C77"/>
    <w:rsid w:val="00C408F9"/>
    <w:rsid w:val="00C40F38"/>
    <w:rsid w:val="00C4168D"/>
    <w:rsid w:val="00C421DC"/>
    <w:rsid w:val="00C42F85"/>
    <w:rsid w:val="00C430E4"/>
    <w:rsid w:val="00C4319D"/>
    <w:rsid w:val="00C435BF"/>
    <w:rsid w:val="00C4369F"/>
    <w:rsid w:val="00C43EC4"/>
    <w:rsid w:val="00C44098"/>
    <w:rsid w:val="00C4613D"/>
    <w:rsid w:val="00C4642C"/>
    <w:rsid w:val="00C4724F"/>
    <w:rsid w:val="00C4770B"/>
    <w:rsid w:val="00C47F73"/>
    <w:rsid w:val="00C50263"/>
    <w:rsid w:val="00C5130D"/>
    <w:rsid w:val="00C51956"/>
    <w:rsid w:val="00C519FB"/>
    <w:rsid w:val="00C51F27"/>
    <w:rsid w:val="00C52B31"/>
    <w:rsid w:val="00C52CD5"/>
    <w:rsid w:val="00C52D40"/>
    <w:rsid w:val="00C534A1"/>
    <w:rsid w:val="00C543FE"/>
    <w:rsid w:val="00C548E4"/>
    <w:rsid w:val="00C55D0D"/>
    <w:rsid w:val="00C55E63"/>
    <w:rsid w:val="00C562E4"/>
    <w:rsid w:val="00C56571"/>
    <w:rsid w:val="00C56C77"/>
    <w:rsid w:val="00C579E1"/>
    <w:rsid w:val="00C604DC"/>
    <w:rsid w:val="00C61F86"/>
    <w:rsid w:val="00C623B4"/>
    <w:rsid w:val="00C62610"/>
    <w:rsid w:val="00C638D6"/>
    <w:rsid w:val="00C6542E"/>
    <w:rsid w:val="00C655D0"/>
    <w:rsid w:val="00C65DAD"/>
    <w:rsid w:val="00C66450"/>
    <w:rsid w:val="00C66A74"/>
    <w:rsid w:val="00C6771E"/>
    <w:rsid w:val="00C70A57"/>
    <w:rsid w:val="00C70D88"/>
    <w:rsid w:val="00C72172"/>
    <w:rsid w:val="00C721B7"/>
    <w:rsid w:val="00C7299C"/>
    <w:rsid w:val="00C72CE8"/>
    <w:rsid w:val="00C72D61"/>
    <w:rsid w:val="00C7302C"/>
    <w:rsid w:val="00C73077"/>
    <w:rsid w:val="00C740C7"/>
    <w:rsid w:val="00C75EC9"/>
    <w:rsid w:val="00C76A51"/>
    <w:rsid w:val="00C77B99"/>
    <w:rsid w:val="00C77D2B"/>
    <w:rsid w:val="00C77D3B"/>
    <w:rsid w:val="00C803DE"/>
    <w:rsid w:val="00C80833"/>
    <w:rsid w:val="00C80CEB"/>
    <w:rsid w:val="00C816F6"/>
    <w:rsid w:val="00C819A9"/>
    <w:rsid w:val="00C820C4"/>
    <w:rsid w:val="00C820DF"/>
    <w:rsid w:val="00C82A58"/>
    <w:rsid w:val="00C82C29"/>
    <w:rsid w:val="00C85262"/>
    <w:rsid w:val="00C8568E"/>
    <w:rsid w:val="00C85C3B"/>
    <w:rsid w:val="00C86381"/>
    <w:rsid w:val="00C86802"/>
    <w:rsid w:val="00C87173"/>
    <w:rsid w:val="00C9005E"/>
    <w:rsid w:val="00C905C2"/>
    <w:rsid w:val="00C918EF"/>
    <w:rsid w:val="00C92117"/>
    <w:rsid w:val="00C921F9"/>
    <w:rsid w:val="00C93217"/>
    <w:rsid w:val="00C947A7"/>
    <w:rsid w:val="00C94C76"/>
    <w:rsid w:val="00C957DE"/>
    <w:rsid w:val="00C972DC"/>
    <w:rsid w:val="00CA25C0"/>
    <w:rsid w:val="00CA26FD"/>
    <w:rsid w:val="00CA2707"/>
    <w:rsid w:val="00CA301C"/>
    <w:rsid w:val="00CA4206"/>
    <w:rsid w:val="00CA61F9"/>
    <w:rsid w:val="00CA6657"/>
    <w:rsid w:val="00CB496C"/>
    <w:rsid w:val="00CB4A3D"/>
    <w:rsid w:val="00CB5201"/>
    <w:rsid w:val="00CB569C"/>
    <w:rsid w:val="00CB5710"/>
    <w:rsid w:val="00CB6A40"/>
    <w:rsid w:val="00CB6B4E"/>
    <w:rsid w:val="00CB6F0E"/>
    <w:rsid w:val="00CB6F8A"/>
    <w:rsid w:val="00CC014A"/>
    <w:rsid w:val="00CC01C6"/>
    <w:rsid w:val="00CC28C7"/>
    <w:rsid w:val="00CC2994"/>
    <w:rsid w:val="00CC32EE"/>
    <w:rsid w:val="00CC4319"/>
    <w:rsid w:val="00CC4738"/>
    <w:rsid w:val="00CC4748"/>
    <w:rsid w:val="00CC4E3E"/>
    <w:rsid w:val="00CC4F67"/>
    <w:rsid w:val="00CC59B5"/>
    <w:rsid w:val="00CC6535"/>
    <w:rsid w:val="00CC66A7"/>
    <w:rsid w:val="00CC7165"/>
    <w:rsid w:val="00CD0358"/>
    <w:rsid w:val="00CD0B18"/>
    <w:rsid w:val="00CD17A0"/>
    <w:rsid w:val="00CD2984"/>
    <w:rsid w:val="00CD3FE8"/>
    <w:rsid w:val="00CD41DB"/>
    <w:rsid w:val="00CD44DD"/>
    <w:rsid w:val="00CD4533"/>
    <w:rsid w:val="00CD46B1"/>
    <w:rsid w:val="00CD4E08"/>
    <w:rsid w:val="00CD5A63"/>
    <w:rsid w:val="00CD5D4F"/>
    <w:rsid w:val="00CD7EEA"/>
    <w:rsid w:val="00CE1989"/>
    <w:rsid w:val="00CE2371"/>
    <w:rsid w:val="00CE2391"/>
    <w:rsid w:val="00CE262E"/>
    <w:rsid w:val="00CE28A0"/>
    <w:rsid w:val="00CE338E"/>
    <w:rsid w:val="00CE3AE2"/>
    <w:rsid w:val="00CE4716"/>
    <w:rsid w:val="00CE48F9"/>
    <w:rsid w:val="00CE4AD8"/>
    <w:rsid w:val="00CE5C7B"/>
    <w:rsid w:val="00CE5CBD"/>
    <w:rsid w:val="00CE6149"/>
    <w:rsid w:val="00CE6374"/>
    <w:rsid w:val="00CE64C0"/>
    <w:rsid w:val="00CE70E5"/>
    <w:rsid w:val="00CF07D3"/>
    <w:rsid w:val="00CF1110"/>
    <w:rsid w:val="00CF150E"/>
    <w:rsid w:val="00CF33F7"/>
    <w:rsid w:val="00CF3628"/>
    <w:rsid w:val="00CF3F39"/>
    <w:rsid w:val="00CF3FDA"/>
    <w:rsid w:val="00CF496C"/>
    <w:rsid w:val="00CF49F1"/>
    <w:rsid w:val="00CF6106"/>
    <w:rsid w:val="00CF69D2"/>
    <w:rsid w:val="00CF6B1F"/>
    <w:rsid w:val="00CF6E09"/>
    <w:rsid w:val="00CF7075"/>
    <w:rsid w:val="00D00586"/>
    <w:rsid w:val="00D0066B"/>
    <w:rsid w:val="00D01963"/>
    <w:rsid w:val="00D01A43"/>
    <w:rsid w:val="00D01D15"/>
    <w:rsid w:val="00D030B1"/>
    <w:rsid w:val="00D034C7"/>
    <w:rsid w:val="00D0399C"/>
    <w:rsid w:val="00D03A84"/>
    <w:rsid w:val="00D040DE"/>
    <w:rsid w:val="00D04FE2"/>
    <w:rsid w:val="00D0534C"/>
    <w:rsid w:val="00D05CC7"/>
    <w:rsid w:val="00D05E81"/>
    <w:rsid w:val="00D0675B"/>
    <w:rsid w:val="00D06F12"/>
    <w:rsid w:val="00D0731D"/>
    <w:rsid w:val="00D07546"/>
    <w:rsid w:val="00D07741"/>
    <w:rsid w:val="00D0789D"/>
    <w:rsid w:val="00D10134"/>
    <w:rsid w:val="00D1180B"/>
    <w:rsid w:val="00D11C94"/>
    <w:rsid w:val="00D11D02"/>
    <w:rsid w:val="00D12C47"/>
    <w:rsid w:val="00D13ACC"/>
    <w:rsid w:val="00D14B09"/>
    <w:rsid w:val="00D15807"/>
    <w:rsid w:val="00D15A95"/>
    <w:rsid w:val="00D15C3E"/>
    <w:rsid w:val="00D15D25"/>
    <w:rsid w:val="00D16201"/>
    <w:rsid w:val="00D205BA"/>
    <w:rsid w:val="00D207A4"/>
    <w:rsid w:val="00D20E01"/>
    <w:rsid w:val="00D22606"/>
    <w:rsid w:val="00D230B8"/>
    <w:rsid w:val="00D232BD"/>
    <w:rsid w:val="00D23345"/>
    <w:rsid w:val="00D23384"/>
    <w:rsid w:val="00D2493A"/>
    <w:rsid w:val="00D25E8D"/>
    <w:rsid w:val="00D26936"/>
    <w:rsid w:val="00D26961"/>
    <w:rsid w:val="00D2712F"/>
    <w:rsid w:val="00D275A6"/>
    <w:rsid w:val="00D27722"/>
    <w:rsid w:val="00D27822"/>
    <w:rsid w:val="00D30460"/>
    <w:rsid w:val="00D314F8"/>
    <w:rsid w:val="00D31B40"/>
    <w:rsid w:val="00D3229E"/>
    <w:rsid w:val="00D32397"/>
    <w:rsid w:val="00D32655"/>
    <w:rsid w:val="00D329C9"/>
    <w:rsid w:val="00D33AB5"/>
    <w:rsid w:val="00D340F8"/>
    <w:rsid w:val="00D34BC8"/>
    <w:rsid w:val="00D35A9C"/>
    <w:rsid w:val="00D363B8"/>
    <w:rsid w:val="00D371BF"/>
    <w:rsid w:val="00D3750B"/>
    <w:rsid w:val="00D377A5"/>
    <w:rsid w:val="00D401A9"/>
    <w:rsid w:val="00D401C2"/>
    <w:rsid w:val="00D4159F"/>
    <w:rsid w:val="00D43093"/>
    <w:rsid w:val="00D521DC"/>
    <w:rsid w:val="00D52C1D"/>
    <w:rsid w:val="00D532CD"/>
    <w:rsid w:val="00D5402F"/>
    <w:rsid w:val="00D54625"/>
    <w:rsid w:val="00D5599A"/>
    <w:rsid w:val="00D55BF0"/>
    <w:rsid w:val="00D55F6B"/>
    <w:rsid w:val="00D56058"/>
    <w:rsid w:val="00D565DB"/>
    <w:rsid w:val="00D5707C"/>
    <w:rsid w:val="00D57626"/>
    <w:rsid w:val="00D57716"/>
    <w:rsid w:val="00D5773C"/>
    <w:rsid w:val="00D578AF"/>
    <w:rsid w:val="00D57D05"/>
    <w:rsid w:val="00D57EA6"/>
    <w:rsid w:val="00D57F6C"/>
    <w:rsid w:val="00D61678"/>
    <w:rsid w:val="00D61A85"/>
    <w:rsid w:val="00D61D05"/>
    <w:rsid w:val="00D620FD"/>
    <w:rsid w:val="00D62195"/>
    <w:rsid w:val="00D62B16"/>
    <w:rsid w:val="00D62EA6"/>
    <w:rsid w:val="00D63358"/>
    <w:rsid w:val="00D635DF"/>
    <w:rsid w:val="00D6374A"/>
    <w:rsid w:val="00D63D87"/>
    <w:rsid w:val="00D6419F"/>
    <w:rsid w:val="00D65091"/>
    <w:rsid w:val="00D658E4"/>
    <w:rsid w:val="00D65CD4"/>
    <w:rsid w:val="00D65D70"/>
    <w:rsid w:val="00D6675A"/>
    <w:rsid w:val="00D667AA"/>
    <w:rsid w:val="00D66872"/>
    <w:rsid w:val="00D66A4E"/>
    <w:rsid w:val="00D66DE2"/>
    <w:rsid w:val="00D674AE"/>
    <w:rsid w:val="00D67EAF"/>
    <w:rsid w:val="00D70687"/>
    <w:rsid w:val="00D70880"/>
    <w:rsid w:val="00D70DB9"/>
    <w:rsid w:val="00D70F6E"/>
    <w:rsid w:val="00D7140F"/>
    <w:rsid w:val="00D71AD5"/>
    <w:rsid w:val="00D72C18"/>
    <w:rsid w:val="00D7315A"/>
    <w:rsid w:val="00D748FB"/>
    <w:rsid w:val="00D75648"/>
    <w:rsid w:val="00D75674"/>
    <w:rsid w:val="00D7571A"/>
    <w:rsid w:val="00D75B4B"/>
    <w:rsid w:val="00D75F76"/>
    <w:rsid w:val="00D77A2E"/>
    <w:rsid w:val="00D77D85"/>
    <w:rsid w:val="00D77F40"/>
    <w:rsid w:val="00D80C08"/>
    <w:rsid w:val="00D80D0F"/>
    <w:rsid w:val="00D8104F"/>
    <w:rsid w:val="00D81E5D"/>
    <w:rsid w:val="00D83823"/>
    <w:rsid w:val="00D85005"/>
    <w:rsid w:val="00D85DEC"/>
    <w:rsid w:val="00D864BA"/>
    <w:rsid w:val="00D87DEF"/>
    <w:rsid w:val="00D90244"/>
    <w:rsid w:val="00D91A99"/>
    <w:rsid w:val="00D92074"/>
    <w:rsid w:val="00D92523"/>
    <w:rsid w:val="00D9280F"/>
    <w:rsid w:val="00D92F64"/>
    <w:rsid w:val="00D933B8"/>
    <w:rsid w:val="00D93C03"/>
    <w:rsid w:val="00D93EC0"/>
    <w:rsid w:val="00D95930"/>
    <w:rsid w:val="00D95A39"/>
    <w:rsid w:val="00D96313"/>
    <w:rsid w:val="00D9698F"/>
    <w:rsid w:val="00D9710C"/>
    <w:rsid w:val="00DA0426"/>
    <w:rsid w:val="00DA048F"/>
    <w:rsid w:val="00DA123E"/>
    <w:rsid w:val="00DA140A"/>
    <w:rsid w:val="00DA1933"/>
    <w:rsid w:val="00DA254D"/>
    <w:rsid w:val="00DA2873"/>
    <w:rsid w:val="00DA3209"/>
    <w:rsid w:val="00DA3896"/>
    <w:rsid w:val="00DA4845"/>
    <w:rsid w:val="00DA553E"/>
    <w:rsid w:val="00DA60E1"/>
    <w:rsid w:val="00DA67E1"/>
    <w:rsid w:val="00DA6BF3"/>
    <w:rsid w:val="00DA6D97"/>
    <w:rsid w:val="00DA6F6E"/>
    <w:rsid w:val="00DB0EA9"/>
    <w:rsid w:val="00DB10D9"/>
    <w:rsid w:val="00DB1147"/>
    <w:rsid w:val="00DB177C"/>
    <w:rsid w:val="00DB2A4B"/>
    <w:rsid w:val="00DB3817"/>
    <w:rsid w:val="00DB3F44"/>
    <w:rsid w:val="00DB4580"/>
    <w:rsid w:val="00DB4878"/>
    <w:rsid w:val="00DB6602"/>
    <w:rsid w:val="00DB7592"/>
    <w:rsid w:val="00DB75FB"/>
    <w:rsid w:val="00DB7647"/>
    <w:rsid w:val="00DC098F"/>
    <w:rsid w:val="00DC0AEC"/>
    <w:rsid w:val="00DC176D"/>
    <w:rsid w:val="00DC3798"/>
    <w:rsid w:val="00DC37C2"/>
    <w:rsid w:val="00DC46F4"/>
    <w:rsid w:val="00DC4D8B"/>
    <w:rsid w:val="00DC552B"/>
    <w:rsid w:val="00DC5A13"/>
    <w:rsid w:val="00DC5DB0"/>
    <w:rsid w:val="00DC6C4E"/>
    <w:rsid w:val="00DC73C7"/>
    <w:rsid w:val="00DD0250"/>
    <w:rsid w:val="00DD0B22"/>
    <w:rsid w:val="00DD0DE5"/>
    <w:rsid w:val="00DD0E08"/>
    <w:rsid w:val="00DD270F"/>
    <w:rsid w:val="00DD30AD"/>
    <w:rsid w:val="00DD3A45"/>
    <w:rsid w:val="00DD452D"/>
    <w:rsid w:val="00DD4ED4"/>
    <w:rsid w:val="00DD7A0E"/>
    <w:rsid w:val="00DE097D"/>
    <w:rsid w:val="00DE1144"/>
    <w:rsid w:val="00DE2053"/>
    <w:rsid w:val="00DE329B"/>
    <w:rsid w:val="00DE34A1"/>
    <w:rsid w:val="00DE3DA8"/>
    <w:rsid w:val="00DE4653"/>
    <w:rsid w:val="00DE4E8A"/>
    <w:rsid w:val="00DE52F5"/>
    <w:rsid w:val="00DE6A1F"/>
    <w:rsid w:val="00DE71B2"/>
    <w:rsid w:val="00DE732E"/>
    <w:rsid w:val="00DF0263"/>
    <w:rsid w:val="00DF1260"/>
    <w:rsid w:val="00DF1EBA"/>
    <w:rsid w:val="00DF1FEC"/>
    <w:rsid w:val="00DF202D"/>
    <w:rsid w:val="00DF32EA"/>
    <w:rsid w:val="00DF38DF"/>
    <w:rsid w:val="00DF398A"/>
    <w:rsid w:val="00DF39DB"/>
    <w:rsid w:val="00DF4669"/>
    <w:rsid w:val="00DF49E0"/>
    <w:rsid w:val="00DF50B1"/>
    <w:rsid w:val="00DF57FE"/>
    <w:rsid w:val="00DF59AB"/>
    <w:rsid w:val="00DF5A4D"/>
    <w:rsid w:val="00DF5FD2"/>
    <w:rsid w:val="00DF629F"/>
    <w:rsid w:val="00DF765D"/>
    <w:rsid w:val="00E00EA9"/>
    <w:rsid w:val="00E011BD"/>
    <w:rsid w:val="00E01593"/>
    <w:rsid w:val="00E01A19"/>
    <w:rsid w:val="00E0331A"/>
    <w:rsid w:val="00E03BC4"/>
    <w:rsid w:val="00E04382"/>
    <w:rsid w:val="00E05A38"/>
    <w:rsid w:val="00E06185"/>
    <w:rsid w:val="00E06283"/>
    <w:rsid w:val="00E06992"/>
    <w:rsid w:val="00E06B25"/>
    <w:rsid w:val="00E06F6A"/>
    <w:rsid w:val="00E0708D"/>
    <w:rsid w:val="00E0716D"/>
    <w:rsid w:val="00E1082D"/>
    <w:rsid w:val="00E13608"/>
    <w:rsid w:val="00E163EB"/>
    <w:rsid w:val="00E171AA"/>
    <w:rsid w:val="00E2082A"/>
    <w:rsid w:val="00E20E3C"/>
    <w:rsid w:val="00E21969"/>
    <w:rsid w:val="00E22D32"/>
    <w:rsid w:val="00E230A5"/>
    <w:rsid w:val="00E23907"/>
    <w:rsid w:val="00E2418E"/>
    <w:rsid w:val="00E249A8"/>
    <w:rsid w:val="00E254E3"/>
    <w:rsid w:val="00E262A3"/>
    <w:rsid w:val="00E2681D"/>
    <w:rsid w:val="00E26BC6"/>
    <w:rsid w:val="00E26D2C"/>
    <w:rsid w:val="00E26D56"/>
    <w:rsid w:val="00E2783F"/>
    <w:rsid w:val="00E27FAB"/>
    <w:rsid w:val="00E308FD"/>
    <w:rsid w:val="00E317C8"/>
    <w:rsid w:val="00E330FC"/>
    <w:rsid w:val="00E33F24"/>
    <w:rsid w:val="00E34123"/>
    <w:rsid w:val="00E36553"/>
    <w:rsid w:val="00E36ADE"/>
    <w:rsid w:val="00E37E7D"/>
    <w:rsid w:val="00E4059C"/>
    <w:rsid w:val="00E41283"/>
    <w:rsid w:val="00E4129F"/>
    <w:rsid w:val="00E41D35"/>
    <w:rsid w:val="00E422CD"/>
    <w:rsid w:val="00E42622"/>
    <w:rsid w:val="00E4270B"/>
    <w:rsid w:val="00E43A9C"/>
    <w:rsid w:val="00E4404D"/>
    <w:rsid w:val="00E44CE9"/>
    <w:rsid w:val="00E45090"/>
    <w:rsid w:val="00E46121"/>
    <w:rsid w:val="00E46403"/>
    <w:rsid w:val="00E46A90"/>
    <w:rsid w:val="00E475C9"/>
    <w:rsid w:val="00E501CB"/>
    <w:rsid w:val="00E5052E"/>
    <w:rsid w:val="00E505D0"/>
    <w:rsid w:val="00E51C56"/>
    <w:rsid w:val="00E5311E"/>
    <w:rsid w:val="00E539F6"/>
    <w:rsid w:val="00E54E42"/>
    <w:rsid w:val="00E55C73"/>
    <w:rsid w:val="00E570E1"/>
    <w:rsid w:val="00E60521"/>
    <w:rsid w:val="00E6072B"/>
    <w:rsid w:val="00E61076"/>
    <w:rsid w:val="00E614EA"/>
    <w:rsid w:val="00E61545"/>
    <w:rsid w:val="00E61BCF"/>
    <w:rsid w:val="00E62042"/>
    <w:rsid w:val="00E6261B"/>
    <w:rsid w:val="00E62F53"/>
    <w:rsid w:val="00E635F6"/>
    <w:rsid w:val="00E64502"/>
    <w:rsid w:val="00E658EE"/>
    <w:rsid w:val="00E66585"/>
    <w:rsid w:val="00E667E1"/>
    <w:rsid w:val="00E676A9"/>
    <w:rsid w:val="00E70464"/>
    <w:rsid w:val="00E70E9F"/>
    <w:rsid w:val="00E7200D"/>
    <w:rsid w:val="00E7229F"/>
    <w:rsid w:val="00E73F76"/>
    <w:rsid w:val="00E74D18"/>
    <w:rsid w:val="00E75239"/>
    <w:rsid w:val="00E755FB"/>
    <w:rsid w:val="00E759D0"/>
    <w:rsid w:val="00E7625F"/>
    <w:rsid w:val="00E76408"/>
    <w:rsid w:val="00E7650B"/>
    <w:rsid w:val="00E76E50"/>
    <w:rsid w:val="00E80FAA"/>
    <w:rsid w:val="00E811A9"/>
    <w:rsid w:val="00E81612"/>
    <w:rsid w:val="00E81F62"/>
    <w:rsid w:val="00E82CC5"/>
    <w:rsid w:val="00E83173"/>
    <w:rsid w:val="00E83508"/>
    <w:rsid w:val="00E8407F"/>
    <w:rsid w:val="00E84928"/>
    <w:rsid w:val="00E84D19"/>
    <w:rsid w:val="00E85075"/>
    <w:rsid w:val="00E85A14"/>
    <w:rsid w:val="00E85DB5"/>
    <w:rsid w:val="00E8615C"/>
    <w:rsid w:val="00E8710C"/>
    <w:rsid w:val="00E872FE"/>
    <w:rsid w:val="00E87B09"/>
    <w:rsid w:val="00E90007"/>
    <w:rsid w:val="00E902F5"/>
    <w:rsid w:val="00E91327"/>
    <w:rsid w:val="00E929B8"/>
    <w:rsid w:val="00E92A27"/>
    <w:rsid w:val="00E93360"/>
    <w:rsid w:val="00E941B8"/>
    <w:rsid w:val="00E9511F"/>
    <w:rsid w:val="00E9552F"/>
    <w:rsid w:val="00E95DFC"/>
    <w:rsid w:val="00E95EE4"/>
    <w:rsid w:val="00E9606D"/>
    <w:rsid w:val="00EA0D80"/>
    <w:rsid w:val="00EA17F9"/>
    <w:rsid w:val="00EA1BFE"/>
    <w:rsid w:val="00EA231B"/>
    <w:rsid w:val="00EA234E"/>
    <w:rsid w:val="00EA24A1"/>
    <w:rsid w:val="00EA4097"/>
    <w:rsid w:val="00EA4FB8"/>
    <w:rsid w:val="00EA526F"/>
    <w:rsid w:val="00EA665B"/>
    <w:rsid w:val="00EA6C32"/>
    <w:rsid w:val="00EB02A9"/>
    <w:rsid w:val="00EB0386"/>
    <w:rsid w:val="00EB0498"/>
    <w:rsid w:val="00EB086B"/>
    <w:rsid w:val="00EB1975"/>
    <w:rsid w:val="00EB2302"/>
    <w:rsid w:val="00EB252D"/>
    <w:rsid w:val="00EB2FE2"/>
    <w:rsid w:val="00EB30C3"/>
    <w:rsid w:val="00EB38D4"/>
    <w:rsid w:val="00EB3962"/>
    <w:rsid w:val="00EB4712"/>
    <w:rsid w:val="00EB4819"/>
    <w:rsid w:val="00EB4DC1"/>
    <w:rsid w:val="00EB55A2"/>
    <w:rsid w:val="00EB59DC"/>
    <w:rsid w:val="00EB5AE3"/>
    <w:rsid w:val="00EB626C"/>
    <w:rsid w:val="00EB627D"/>
    <w:rsid w:val="00EB63F9"/>
    <w:rsid w:val="00EB6AAB"/>
    <w:rsid w:val="00EB7D60"/>
    <w:rsid w:val="00EB7E8D"/>
    <w:rsid w:val="00EB7F9E"/>
    <w:rsid w:val="00EC01FC"/>
    <w:rsid w:val="00EC0B39"/>
    <w:rsid w:val="00EC13CA"/>
    <w:rsid w:val="00EC14E3"/>
    <w:rsid w:val="00EC183E"/>
    <w:rsid w:val="00EC2118"/>
    <w:rsid w:val="00EC2567"/>
    <w:rsid w:val="00EC2AF8"/>
    <w:rsid w:val="00EC3892"/>
    <w:rsid w:val="00EC3CC5"/>
    <w:rsid w:val="00EC4480"/>
    <w:rsid w:val="00EC475A"/>
    <w:rsid w:val="00EC480E"/>
    <w:rsid w:val="00EC498D"/>
    <w:rsid w:val="00EC5248"/>
    <w:rsid w:val="00EC63E5"/>
    <w:rsid w:val="00EC6536"/>
    <w:rsid w:val="00EC7A41"/>
    <w:rsid w:val="00ED0932"/>
    <w:rsid w:val="00ED0A5D"/>
    <w:rsid w:val="00ED5C8A"/>
    <w:rsid w:val="00ED7AFA"/>
    <w:rsid w:val="00EE0535"/>
    <w:rsid w:val="00EE1BA8"/>
    <w:rsid w:val="00EE23B7"/>
    <w:rsid w:val="00EE2617"/>
    <w:rsid w:val="00EE3804"/>
    <w:rsid w:val="00EE3BE7"/>
    <w:rsid w:val="00EE3F25"/>
    <w:rsid w:val="00EE48C6"/>
    <w:rsid w:val="00EE56B5"/>
    <w:rsid w:val="00EE6808"/>
    <w:rsid w:val="00EE6A68"/>
    <w:rsid w:val="00EF03A7"/>
    <w:rsid w:val="00EF07AD"/>
    <w:rsid w:val="00EF0B4C"/>
    <w:rsid w:val="00EF0B64"/>
    <w:rsid w:val="00EF1BAA"/>
    <w:rsid w:val="00EF210C"/>
    <w:rsid w:val="00EF3AA8"/>
    <w:rsid w:val="00EF6C99"/>
    <w:rsid w:val="00EF6F4F"/>
    <w:rsid w:val="00EF6FB7"/>
    <w:rsid w:val="00EF79C4"/>
    <w:rsid w:val="00F00837"/>
    <w:rsid w:val="00F00C7E"/>
    <w:rsid w:val="00F01C7D"/>
    <w:rsid w:val="00F01E2E"/>
    <w:rsid w:val="00F03DBB"/>
    <w:rsid w:val="00F04107"/>
    <w:rsid w:val="00F05463"/>
    <w:rsid w:val="00F064AD"/>
    <w:rsid w:val="00F06906"/>
    <w:rsid w:val="00F1008A"/>
    <w:rsid w:val="00F10D63"/>
    <w:rsid w:val="00F110EF"/>
    <w:rsid w:val="00F1114A"/>
    <w:rsid w:val="00F11318"/>
    <w:rsid w:val="00F11765"/>
    <w:rsid w:val="00F11AB4"/>
    <w:rsid w:val="00F12C41"/>
    <w:rsid w:val="00F133BB"/>
    <w:rsid w:val="00F14263"/>
    <w:rsid w:val="00F14B1E"/>
    <w:rsid w:val="00F152DA"/>
    <w:rsid w:val="00F15825"/>
    <w:rsid w:val="00F158B2"/>
    <w:rsid w:val="00F15919"/>
    <w:rsid w:val="00F15B13"/>
    <w:rsid w:val="00F15C34"/>
    <w:rsid w:val="00F15DE5"/>
    <w:rsid w:val="00F16E0A"/>
    <w:rsid w:val="00F16E7B"/>
    <w:rsid w:val="00F17FA0"/>
    <w:rsid w:val="00F20CD0"/>
    <w:rsid w:val="00F21979"/>
    <w:rsid w:val="00F21BD0"/>
    <w:rsid w:val="00F21EA5"/>
    <w:rsid w:val="00F227F7"/>
    <w:rsid w:val="00F23A58"/>
    <w:rsid w:val="00F243A3"/>
    <w:rsid w:val="00F24A66"/>
    <w:rsid w:val="00F24BAF"/>
    <w:rsid w:val="00F24F79"/>
    <w:rsid w:val="00F2639B"/>
    <w:rsid w:val="00F26C88"/>
    <w:rsid w:val="00F27429"/>
    <w:rsid w:val="00F27B5A"/>
    <w:rsid w:val="00F31766"/>
    <w:rsid w:val="00F3178F"/>
    <w:rsid w:val="00F32111"/>
    <w:rsid w:val="00F3220C"/>
    <w:rsid w:val="00F32A80"/>
    <w:rsid w:val="00F32CFC"/>
    <w:rsid w:val="00F330BC"/>
    <w:rsid w:val="00F331E2"/>
    <w:rsid w:val="00F33842"/>
    <w:rsid w:val="00F3426E"/>
    <w:rsid w:val="00F34AA0"/>
    <w:rsid w:val="00F34EB9"/>
    <w:rsid w:val="00F357C2"/>
    <w:rsid w:val="00F369D3"/>
    <w:rsid w:val="00F3727E"/>
    <w:rsid w:val="00F3799B"/>
    <w:rsid w:val="00F37B7E"/>
    <w:rsid w:val="00F37C43"/>
    <w:rsid w:val="00F37F01"/>
    <w:rsid w:val="00F40269"/>
    <w:rsid w:val="00F4066B"/>
    <w:rsid w:val="00F40970"/>
    <w:rsid w:val="00F40C33"/>
    <w:rsid w:val="00F40D46"/>
    <w:rsid w:val="00F41305"/>
    <w:rsid w:val="00F41C77"/>
    <w:rsid w:val="00F42224"/>
    <w:rsid w:val="00F42783"/>
    <w:rsid w:val="00F43B0C"/>
    <w:rsid w:val="00F44A14"/>
    <w:rsid w:val="00F4552B"/>
    <w:rsid w:val="00F45A29"/>
    <w:rsid w:val="00F46DE3"/>
    <w:rsid w:val="00F501CD"/>
    <w:rsid w:val="00F50260"/>
    <w:rsid w:val="00F50467"/>
    <w:rsid w:val="00F511BB"/>
    <w:rsid w:val="00F51719"/>
    <w:rsid w:val="00F518F4"/>
    <w:rsid w:val="00F53324"/>
    <w:rsid w:val="00F53726"/>
    <w:rsid w:val="00F54610"/>
    <w:rsid w:val="00F548B5"/>
    <w:rsid w:val="00F557F1"/>
    <w:rsid w:val="00F55CE9"/>
    <w:rsid w:val="00F564FB"/>
    <w:rsid w:val="00F56596"/>
    <w:rsid w:val="00F572C1"/>
    <w:rsid w:val="00F573A4"/>
    <w:rsid w:val="00F573C1"/>
    <w:rsid w:val="00F5792D"/>
    <w:rsid w:val="00F6038B"/>
    <w:rsid w:val="00F60AD8"/>
    <w:rsid w:val="00F61763"/>
    <w:rsid w:val="00F61813"/>
    <w:rsid w:val="00F62978"/>
    <w:rsid w:val="00F62A82"/>
    <w:rsid w:val="00F62D38"/>
    <w:rsid w:val="00F62EA4"/>
    <w:rsid w:val="00F6388F"/>
    <w:rsid w:val="00F63E7C"/>
    <w:rsid w:val="00F64530"/>
    <w:rsid w:val="00F64722"/>
    <w:rsid w:val="00F652A1"/>
    <w:rsid w:val="00F66575"/>
    <w:rsid w:val="00F6691D"/>
    <w:rsid w:val="00F66FFC"/>
    <w:rsid w:val="00F677DD"/>
    <w:rsid w:val="00F706C4"/>
    <w:rsid w:val="00F70DFA"/>
    <w:rsid w:val="00F71254"/>
    <w:rsid w:val="00F72455"/>
    <w:rsid w:val="00F73DA3"/>
    <w:rsid w:val="00F74465"/>
    <w:rsid w:val="00F7450D"/>
    <w:rsid w:val="00F74E74"/>
    <w:rsid w:val="00F75388"/>
    <w:rsid w:val="00F754F1"/>
    <w:rsid w:val="00F77033"/>
    <w:rsid w:val="00F77203"/>
    <w:rsid w:val="00F776E8"/>
    <w:rsid w:val="00F77805"/>
    <w:rsid w:val="00F80D17"/>
    <w:rsid w:val="00F8165E"/>
    <w:rsid w:val="00F8168E"/>
    <w:rsid w:val="00F816E9"/>
    <w:rsid w:val="00F817E5"/>
    <w:rsid w:val="00F81979"/>
    <w:rsid w:val="00F8234C"/>
    <w:rsid w:val="00F836DA"/>
    <w:rsid w:val="00F839B2"/>
    <w:rsid w:val="00F8416D"/>
    <w:rsid w:val="00F85363"/>
    <w:rsid w:val="00F85F19"/>
    <w:rsid w:val="00F86437"/>
    <w:rsid w:val="00F86D46"/>
    <w:rsid w:val="00F8771D"/>
    <w:rsid w:val="00F90604"/>
    <w:rsid w:val="00F908FA"/>
    <w:rsid w:val="00F91202"/>
    <w:rsid w:val="00F91FF6"/>
    <w:rsid w:val="00F92860"/>
    <w:rsid w:val="00F931AE"/>
    <w:rsid w:val="00F931D1"/>
    <w:rsid w:val="00F9356D"/>
    <w:rsid w:val="00F93CB5"/>
    <w:rsid w:val="00F93D1D"/>
    <w:rsid w:val="00F93DE1"/>
    <w:rsid w:val="00F94764"/>
    <w:rsid w:val="00F9554C"/>
    <w:rsid w:val="00F9665A"/>
    <w:rsid w:val="00F971D0"/>
    <w:rsid w:val="00F97460"/>
    <w:rsid w:val="00FA0015"/>
    <w:rsid w:val="00FA0BEF"/>
    <w:rsid w:val="00FA0DB2"/>
    <w:rsid w:val="00FA0DCB"/>
    <w:rsid w:val="00FA14B0"/>
    <w:rsid w:val="00FA1B8B"/>
    <w:rsid w:val="00FA2C41"/>
    <w:rsid w:val="00FA484F"/>
    <w:rsid w:val="00FA4CAA"/>
    <w:rsid w:val="00FA587F"/>
    <w:rsid w:val="00FA5DB3"/>
    <w:rsid w:val="00FA7408"/>
    <w:rsid w:val="00FA766C"/>
    <w:rsid w:val="00FA7B22"/>
    <w:rsid w:val="00FA7E80"/>
    <w:rsid w:val="00FA7EFB"/>
    <w:rsid w:val="00FB03A3"/>
    <w:rsid w:val="00FB0BEA"/>
    <w:rsid w:val="00FB11F9"/>
    <w:rsid w:val="00FB150D"/>
    <w:rsid w:val="00FB309D"/>
    <w:rsid w:val="00FB310C"/>
    <w:rsid w:val="00FB36D2"/>
    <w:rsid w:val="00FB4659"/>
    <w:rsid w:val="00FB7462"/>
    <w:rsid w:val="00FC0C49"/>
    <w:rsid w:val="00FC18FA"/>
    <w:rsid w:val="00FC1BF4"/>
    <w:rsid w:val="00FC1C11"/>
    <w:rsid w:val="00FC1C70"/>
    <w:rsid w:val="00FC211A"/>
    <w:rsid w:val="00FC2243"/>
    <w:rsid w:val="00FC2BCF"/>
    <w:rsid w:val="00FC3313"/>
    <w:rsid w:val="00FC391B"/>
    <w:rsid w:val="00FC3B75"/>
    <w:rsid w:val="00FC3BD3"/>
    <w:rsid w:val="00FC41D0"/>
    <w:rsid w:val="00FC4EA1"/>
    <w:rsid w:val="00FC55BB"/>
    <w:rsid w:val="00FC5A19"/>
    <w:rsid w:val="00FC68A9"/>
    <w:rsid w:val="00FC69BB"/>
    <w:rsid w:val="00FC6D85"/>
    <w:rsid w:val="00FC7C2F"/>
    <w:rsid w:val="00FD0426"/>
    <w:rsid w:val="00FD0FCA"/>
    <w:rsid w:val="00FD34CB"/>
    <w:rsid w:val="00FD3B72"/>
    <w:rsid w:val="00FD5066"/>
    <w:rsid w:val="00FD5561"/>
    <w:rsid w:val="00FD5E33"/>
    <w:rsid w:val="00FD6C49"/>
    <w:rsid w:val="00FD6D72"/>
    <w:rsid w:val="00FD77C9"/>
    <w:rsid w:val="00FE0385"/>
    <w:rsid w:val="00FE0766"/>
    <w:rsid w:val="00FE09A7"/>
    <w:rsid w:val="00FE1C67"/>
    <w:rsid w:val="00FE24B4"/>
    <w:rsid w:val="00FE274B"/>
    <w:rsid w:val="00FE2A1F"/>
    <w:rsid w:val="00FE2A85"/>
    <w:rsid w:val="00FE33FE"/>
    <w:rsid w:val="00FE33FF"/>
    <w:rsid w:val="00FE3DAF"/>
    <w:rsid w:val="00FE4BFA"/>
    <w:rsid w:val="00FE4C3F"/>
    <w:rsid w:val="00FE4EC5"/>
    <w:rsid w:val="00FE5460"/>
    <w:rsid w:val="00FE58CF"/>
    <w:rsid w:val="00FE6B37"/>
    <w:rsid w:val="00FE73A0"/>
    <w:rsid w:val="00FE76FB"/>
    <w:rsid w:val="00FE7AC6"/>
    <w:rsid w:val="00FF0686"/>
    <w:rsid w:val="00FF0A64"/>
    <w:rsid w:val="00FF24F5"/>
    <w:rsid w:val="00FF2990"/>
    <w:rsid w:val="00FF2A45"/>
    <w:rsid w:val="00FF2D80"/>
    <w:rsid w:val="00FF34E9"/>
    <w:rsid w:val="00FF35AA"/>
    <w:rsid w:val="00FF38C8"/>
    <w:rsid w:val="00FF3A24"/>
    <w:rsid w:val="00FF44F7"/>
    <w:rsid w:val="00FF4E2B"/>
    <w:rsid w:val="00FF4FCD"/>
    <w:rsid w:val="00FF538F"/>
    <w:rsid w:val="00FF6C6D"/>
    <w:rsid w:val="00FF6FDC"/>
    <w:rsid w:val="00FF73C7"/>
    <w:rsid w:val="00FF73E3"/>
    <w:rsid w:val="00FF7851"/>
    <w:rsid w:val="00FF7AA9"/>
    <w:rsid w:val="00FF7FB4"/>
    <w:rsid w:val="00FF7FF0"/>
    <w:rsid w:val="0202C376"/>
    <w:rsid w:val="02CF925B"/>
    <w:rsid w:val="048F4EB1"/>
    <w:rsid w:val="04BBE8CB"/>
    <w:rsid w:val="0746616C"/>
    <w:rsid w:val="0813EA00"/>
    <w:rsid w:val="0CCC7D1D"/>
    <w:rsid w:val="0FD96FDC"/>
    <w:rsid w:val="10A844DD"/>
    <w:rsid w:val="15A0F602"/>
    <w:rsid w:val="1630E8D0"/>
    <w:rsid w:val="16A7D2FE"/>
    <w:rsid w:val="1AB385A6"/>
    <w:rsid w:val="1AE0742B"/>
    <w:rsid w:val="1C375DDF"/>
    <w:rsid w:val="1D5ADCCE"/>
    <w:rsid w:val="21ED58F7"/>
    <w:rsid w:val="23CC7DE0"/>
    <w:rsid w:val="2767679B"/>
    <w:rsid w:val="27C675FB"/>
    <w:rsid w:val="2B82956E"/>
    <w:rsid w:val="2CCDA7F0"/>
    <w:rsid w:val="31F987E9"/>
    <w:rsid w:val="35AC6DEB"/>
    <w:rsid w:val="3686380F"/>
    <w:rsid w:val="37412DFF"/>
    <w:rsid w:val="3F45FE5F"/>
    <w:rsid w:val="42F68284"/>
    <w:rsid w:val="483B37A4"/>
    <w:rsid w:val="4B43FD70"/>
    <w:rsid w:val="4F234892"/>
    <w:rsid w:val="536A586E"/>
    <w:rsid w:val="536EE4DB"/>
    <w:rsid w:val="56CDC23F"/>
    <w:rsid w:val="571722C5"/>
    <w:rsid w:val="57FD084F"/>
    <w:rsid w:val="5B161C1C"/>
    <w:rsid w:val="5F26F5D7"/>
    <w:rsid w:val="5F3119FC"/>
    <w:rsid w:val="5FD41E00"/>
    <w:rsid w:val="605EAF4B"/>
    <w:rsid w:val="60A09709"/>
    <w:rsid w:val="62A721BB"/>
    <w:rsid w:val="64A96C42"/>
    <w:rsid w:val="6A5AD3E3"/>
    <w:rsid w:val="6AC857BF"/>
    <w:rsid w:val="6BA091DB"/>
    <w:rsid w:val="6C5D84FC"/>
    <w:rsid w:val="6CAC24E1"/>
    <w:rsid w:val="6D153735"/>
    <w:rsid w:val="6ED9FDC6"/>
    <w:rsid w:val="6FED7366"/>
    <w:rsid w:val="73F01F58"/>
    <w:rsid w:val="75426B58"/>
    <w:rsid w:val="7879E45C"/>
    <w:rsid w:val="7B11C05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C63150F"/>
  <w15:docId w15:val="{93247BD6-1796-45DE-8A3B-DC225AD82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5"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9"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uiPriority="44"/>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PRI Body"/>
    <w:uiPriority w:val="5"/>
    <w:qFormat/>
    <w:rsid w:val="003058F5"/>
    <w:pPr>
      <w:spacing w:after="0" w:line="312" w:lineRule="auto"/>
    </w:pPr>
    <w:rPr>
      <w:rFonts w:ascii="Arial" w:eastAsia="MS PGothic" w:hAnsi="Arial" w:cs="Times New Roman"/>
      <w:sz w:val="20"/>
      <w:szCs w:val="20"/>
    </w:rPr>
  </w:style>
  <w:style w:type="paragraph" w:styleId="Titre1">
    <w:name w:val="heading 1"/>
    <w:aliases w:val="Section title"/>
    <w:basedOn w:val="Normal"/>
    <w:next w:val="Normal"/>
    <w:link w:val="Titre1Car"/>
    <w:uiPriority w:val="1"/>
    <w:qFormat/>
    <w:rsid w:val="008643B7"/>
    <w:pPr>
      <w:keepNext/>
      <w:keepLines/>
      <w:spacing w:before="240"/>
      <w:outlineLvl w:val="0"/>
    </w:pPr>
    <w:rPr>
      <w:rFonts w:eastAsiaTheme="majorEastAsia" w:cstheme="majorBidi"/>
      <w:caps/>
      <w:color w:val="2F5496" w:themeColor="accent1" w:themeShade="BF"/>
      <w:sz w:val="40"/>
      <w:szCs w:val="32"/>
    </w:rPr>
  </w:style>
  <w:style w:type="paragraph" w:styleId="Titre2">
    <w:name w:val="heading 2"/>
    <w:aliases w:val="SubHeading 1"/>
    <w:basedOn w:val="Normal"/>
    <w:next w:val="Normal"/>
    <w:link w:val="Titre2Car"/>
    <w:uiPriority w:val="2"/>
    <w:qFormat/>
    <w:rsid w:val="008643B7"/>
    <w:pPr>
      <w:keepNext/>
      <w:keepLines/>
      <w:spacing w:before="240" w:after="120"/>
      <w:outlineLvl w:val="1"/>
    </w:pPr>
    <w:rPr>
      <w:rFonts w:eastAsiaTheme="majorEastAsia" w:cstheme="majorBidi"/>
      <w:b/>
      <w:caps/>
      <w:color w:val="00B0F0"/>
      <w:sz w:val="28"/>
      <w:szCs w:val="26"/>
    </w:rPr>
  </w:style>
  <w:style w:type="paragraph" w:styleId="Titre3">
    <w:name w:val="heading 3"/>
    <w:aliases w:val="Sub-Sub heading,PRI Heading 3"/>
    <w:basedOn w:val="Normal"/>
    <w:next w:val="Normal"/>
    <w:link w:val="Titre3Car"/>
    <w:uiPriority w:val="3"/>
    <w:qFormat/>
    <w:rsid w:val="008643B7"/>
    <w:pPr>
      <w:keepNext/>
      <w:keepLines/>
      <w:spacing w:before="40"/>
      <w:ind w:left="720" w:hanging="720"/>
      <w:outlineLvl w:val="2"/>
    </w:pPr>
    <w:rPr>
      <w:rFonts w:eastAsiaTheme="majorEastAsia" w:cstheme="majorBidi"/>
      <w:b/>
      <w:caps/>
      <w:color w:val="0070C0"/>
      <w:sz w:val="24"/>
      <w:szCs w:val="24"/>
    </w:rPr>
  </w:style>
  <w:style w:type="paragraph" w:styleId="Titre4">
    <w:name w:val="heading 4"/>
    <w:aliases w:val="Heading #3"/>
    <w:basedOn w:val="Normal"/>
    <w:next w:val="Normal"/>
    <w:link w:val="Titre4Car"/>
    <w:uiPriority w:val="5"/>
    <w:qFormat/>
    <w:rsid w:val="008643B7"/>
    <w:pPr>
      <w:keepNext/>
      <w:keepLines/>
      <w:spacing w:before="40"/>
      <w:outlineLvl w:val="3"/>
    </w:pPr>
    <w:rPr>
      <w:rFonts w:eastAsiaTheme="majorEastAsia" w:cstheme="majorBidi"/>
      <w:b/>
      <w:iCs/>
      <w:color w:val="00B0F0"/>
    </w:rPr>
  </w:style>
  <w:style w:type="paragraph" w:styleId="Titre5">
    <w:name w:val="heading 5"/>
    <w:basedOn w:val="Normal"/>
    <w:next w:val="Normal"/>
    <w:link w:val="Titre5Car"/>
    <w:uiPriority w:val="9"/>
    <w:semiHidden/>
    <w:unhideWhenUsed/>
    <w:rsid w:val="009B05C4"/>
    <w:pPr>
      <w:keepNext/>
      <w:keepLines/>
      <w:numPr>
        <w:ilvl w:val="4"/>
        <w:numId w:val="7"/>
      </w:numPr>
      <w:spacing w:before="4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9B05C4"/>
    <w:pPr>
      <w:keepNext/>
      <w:keepLines/>
      <w:numPr>
        <w:ilvl w:val="5"/>
        <w:numId w:val="7"/>
      </w:numPr>
      <w:spacing w:before="4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9B05C4"/>
    <w:pPr>
      <w:keepNext/>
      <w:keepLines/>
      <w:numPr>
        <w:ilvl w:val="6"/>
        <w:numId w:val="7"/>
      </w:numPr>
      <w:spacing w:before="4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9B05C4"/>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9B05C4"/>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Section title Car"/>
    <w:basedOn w:val="Policepardfaut"/>
    <w:link w:val="Titre1"/>
    <w:uiPriority w:val="1"/>
    <w:rsid w:val="008643B7"/>
    <w:rPr>
      <w:rFonts w:ascii="Arial" w:eastAsiaTheme="majorEastAsia" w:hAnsi="Arial" w:cstheme="majorBidi"/>
      <w:caps/>
      <w:color w:val="2F5496" w:themeColor="accent1" w:themeShade="BF"/>
      <w:sz w:val="40"/>
      <w:szCs w:val="32"/>
    </w:rPr>
  </w:style>
  <w:style w:type="paragraph" w:styleId="Titre">
    <w:name w:val="Title"/>
    <w:aliases w:val="Main title,PRI Title"/>
    <w:basedOn w:val="Normal"/>
    <w:next w:val="Normal"/>
    <w:link w:val="TitreCar"/>
    <w:qFormat/>
    <w:rsid w:val="00406E77"/>
    <w:pPr>
      <w:pBdr>
        <w:bottom w:val="single" w:sz="4" w:space="3" w:color="000000" w:themeColor="text1"/>
      </w:pBdr>
      <w:spacing w:before="3200" w:after="420" w:line="240" w:lineRule="auto"/>
      <w:contextualSpacing/>
    </w:pPr>
    <w:rPr>
      <w:rFonts w:eastAsiaTheme="majorEastAsia" w:cstheme="majorBidi"/>
      <w:caps/>
      <w:color w:val="000000" w:themeColor="text1"/>
      <w:spacing w:val="-10"/>
      <w:kern w:val="28"/>
      <w:sz w:val="48"/>
      <w:szCs w:val="56"/>
    </w:rPr>
  </w:style>
  <w:style w:type="character" w:customStyle="1" w:styleId="TitreCar">
    <w:name w:val="Titre Car"/>
    <w:aliases w:val="Main title Car,PRI Title Car"/>
    <w:basedOn w:val="Policepardfaut"/>
    <w:link w:val="Titre"/>
    <w:rsid w:val="00406E77"/>
    <w:rPr>
      <w:rFonts w:ascii="Arial" w:eastAsiaTheme="majorEastAsia" w:hAnsi="Arial" w:cstheme="majorBidi"/>
      <w:caps/>
      <w:color w:val="000000" w:themeColor="text1"/>
      <w:spacing w:val="-10"/>
      <w:kern w:val="28"/>
      <w:sz w:val="48"/>
      <w:szCs w:val="56"/>
    </w:rPr>
  </w:style>
  <w:style w:type="character" w:customStyle="1" w:styleId="Titre2Car">
    <w:name w:val="Titre 2 Car"/>
    <w:aliases w:val="SubHeading 1 Car"/>
    <w:basedOn w:val="Policepardfaut"/>
    <w:link w:val="Titre2"/>
    <w:uiPriority w:val="2"/>
    <w:rsid w:val="008643B7"/>
    <w:rPr>
      <w:rFonts w:ascii="Arial" w:eastAsiaTheme="majorEastAsia" w:hAnsi="Arial" w:cstheme="majorBidi"/>
      <w:b/>
      <w:caps/>
      <w:color w:val="00B0F0"/>
      <w:sz w:val="28"/>
      <w:szCs w:val="26"/>
    </w:rPr>
  </w:style>
  <w:style w:type="paragraph" w:styleId="Textedebulles">
    <w:name w:val="Balloon Text"/>
    <w:basedOn w:val="Normal"/>
    <w:link w:val="TextedebullesCar"/>
    <w:uiPriority w:val="99"/>
    <w:semiHidden/>
    <w:unhideWhenUsed/>
    <w:rsid w:val="009B05C4"/>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B05C4"/>
    <w:rPr>
      <w:rFonts w:ascii="Segoe UI" w:hAnsi="Segoe UI" w:cs="Segoe UI"/>
      <w:sz w:val="18"/>
      <w:szCs w:val="18"/>
    </w:rPr>
  </w:style>
  <w:style w:type="character" w:customStyle="1" w:styleId="Titre3Car">
    <w:name w:val="Titre 3 Car"/>
    <w:aliases w:val="Sub-Sub heading Car,PRI Heading 3 Car"/>
    <w:basedOn w:val="Policepardfaut"/>
    <w:link w:val="Titre3"/>
    <w:uiPriority w:val="3"/>
    <w:rsid w:val="008643B7"/>
    <w:rPr>
      <w:rFonts w:ascii="Arial" w:eastAsiaTheme="majorEastAsia" w:hAnsi="Arial" w:cstheme="majorBidi"/>
      <w:b/>
      <w:caps/>
      <w:color w:val="0070C0"/>
      <w:sz w:val="24"/>
      <w:szCs w:val="24"/>
    </w:rPr>
  </w:style>
  <w:style w:type="paragraph" w:styleId="Paragraphedeliste">
    <w:name w:val="List Paragraph"/>
    <w:aliases w:val="PRI Bullets"/>
    <w:basedOn w:val="Normal"/>
    <w:uiPriority w:val="34"/>
    <w:qFormat/>
    <w:rsid w:val="009B05C4"/>
    <w:pPr>
      <w:ind w:left="720"/>
      <w:contextualSpacing/>
    </w:pPr>
  </w:style>
  <w:style w:type="character" w:customStyle="1" w:styleId="Titre4Car">
    <w:name w:val="Titre 4 Car"/>
    <w:aliases w:val="Heading #3 Car"/>
    <w:basedOn w:val="Policepardfaut"/>
    <w:link w:val="Titre4"/>
    <w:uiPriority w:val="5"/>
    <w:rsid w:val="008643B7"/>
    <w:rPr>
      <w:rFonts w:ascii="Arial" w:eastAsiaTheme="majorEastAsia" w:hAnsi="Arial" w:cstheme="majorBidi"/>
      <w:b/>
      <w:iCs/>
      <w:color w:val="00B0F0"/>
      <w:sz w:val="20"/>
    </w:rPr>
  </w:style>
  <w:style w:type="character" w:customStyle="1" w:styleId="Titre5Car">
    <w:name w:val="Titre 5 Car"/>
    <w:basedOn w:val="Policepardfaut"/>
    <w:link w:val="Titre5"/>
    <w:uiPriority w:val="9"/>
    <w:semiHidden/>
    <w:rsid w:val="009B05C4"/>
    <w:rPr>
      <w:rFonts w:asciiTheme="majorHAnsi" w:eastAsiaTheme="majorEastAsia" w:hAnsiTheme="majorHAnsi" w:cstheme="majorBidi"/>
      <w:color w:val="2F5496" w:themeColor="accent1" w:themeShade="BF"/>
      <w:sz w:val="20"/>
    </w:rPr>
  </w:style>
  <w:style w:type="character" w:customStyle="1" w:styleId="Titre6Car">
    <w:name w:val="Titre 6 Car"/>
    <w:basedOn w:val="Policepardfaut"/>
    <w:link w:val="Titre6"/>
    <w:uiPriority w:val="9"/>
    <w:semiHidden/>
    <w:rsid w:val="009B05C4"/>
    <w:rPr>
      <w:rFonts w:asciiTheme="majorHAnsi" w:eastAsiaTheme="majorEastAsia" w:hAnsiTheme="majorHAnsi" w:cstheme="majorBidi"/>
      <w:color w:val="1F3763" w:themeColor="accent1" w:themeShade="7F"/>
      <w:sz w:val="20"/>
    </w:rPr>
  </w:style>
  <w:style w:type="character" w:customStyle="1" w:styleId="Titre7Car">
    <w:name w:val="Titre 7 Car"/>
    <w:basedOn w:val="Policepardfaut"/>
    <w:link w:val="Titre7"/>
    <w:uiPriority w:val="9"/>
    <w:semiHidden/>
    <w:rsid w:val="009B05C4"/>
    <w:rPr>
      <w:rFonts w:asciiTheme="majorHAnsi" w:eastAsiaTheme="majorEastAsia" w:hAnsiTheme="majorHAnsi" w:cstheme="majorBidi"/>
      <w:i/>
      <w:iCs/>
      <w:color w:val="1F3763" w:themeColor="accent1" w:themeShade="7F"/>
      <w:sz w:val="20"/>
    </w:rPr>
  </w:style>
  <w:style w:type="character" w:customStyle="1" w:styleId="Titre8Car">
    <w:name w:val="Titre 8 Car"/>
    <w:basedOn w:val="Policepardfaut"/>
    <w:link w:val="Titre8"/>
    <w:uiPriority w:val="9"/>
    <w:semiHidden/>
    <w:rsid w:val="009B05C4"/>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9B05C4"/>
    <w:rPr>
      <w:rFonts w:asciiTheme="majorHAnsi" w:eastAsiaTheme="majorEastAsia" w:hAnsiTheme="majorHAnsi" w:cstheme="majorBidi"/>
      <w:i/>
      <w:iCs/>
      <w:color w:val="272727" w:themeColor="text1" w:themeTint="D8"/>
      <w:sz w:val="21"/>
      <w:szCs w:val="21"/>
    </w:rPr>
  </w:style>
  <w:style w:type="paragraph" w:styleId="En-tte">
    <w:name w:val="header"/>
    <w:basedOn w:val="Normal"/>
    <w:link w:val="En-tteCar"/>
    <w:uiPriority w:val="99"/>
    <w:unhideWhenUsed/>
    <w:rsid w:val="00A27FF8"/>
    <w:pPr>
      <w:tabs>
        <w:tab w:val="center" w:pos="4513"/>
        <w:tab w:val="right" w:pos="9026"/>
      </w:tabs>
      <w:spacing w:line="240" w:lineRule="auto"/>
    </w:pPr>
  </w:style>
  <w:style w:type="character" w:customStyle="1" w:styleId="En-tteCar">
    <w:name w:val="En-tête Car"/>
    <w:basedOn w:val="Policepardfaut"/>
    <w:link w:val="En-tte"/>
    <w:uiPriority w:val="99"/>
    <w:rsid w:val="00A27FF8"/>
    <w:rPr>
      <w:rFonts w:ascii="Arial" w:hAnsi="Arial"/>
      <w:sz w:val="20"/>
    </w:rPr>
  </w:style>
  <w:style w:type="paragraph" w:styleId="Pieddepage">
    <w:name w:val="footer"/>
    <w:basedOn w:val="Normal"/>
    <w:link w:val="PieddepageCar"/>
    <w:uiPriority w:val="99"/>
    <w:unhideWhenUsed/>
    <w:rsid w:val="00A27FF8"/>
    <w:pPr>
      <w:tabs>
        <w:tab w:val="center" w:pos="4513"/>
        <w:tab w:val="right" w:pos="9026"/>
      </w:tabs>
      <w:spacing w:line="240" w:lineRule="auto"/>
    </w:pPr>
  </w:style>
  <w:style w:type="character" w:customStyle="1" w:styleId="PieddepageCar">
    <w:name w:val="Pied de page Car"/>
    <w:basedOn w:val="Policepardfaut"/>
    <w:link w:val="Pieddepage"/>
    <w:uiPriority w:val="99"/>
    <w:rsid w:val="00A27FF8"/>
    <w:rPr>
      <w:rFonts w:ascii="Arial" w:hAnsi="Arial"/>
      <w:sz w:val="20"/>
    </w:rPr>
  </w:style>
  <w:style w:type="character" w:styleId="Numrodepage">
    <w:name w:val="page number"/>
    <w:basedOn w:val="Policepardfaut"/>
    <w:uiPriority w:val="99"/>
    <w:semiHidden/>
    <w:unhideWhenUsed/>
    <w:rsid w:val="00A27FF8"/>
  </w:style>
  <w:style w:type="paragraph" w:styleId="En-ttedetabledesmatires">
    <w:name w:val="TOC Heading"/>
    <w:basedOn w:val="Normal"/>
    <w:next w:val="Normal"/>
    <w:uiPriority w:val="39"/>
    <w:unhideWhenUsed/>
    <w:qFormat/>
    <w:rsid w:val="00612767"/>
    <w:pPr>
      <w:spacing w:line="259" w:lineRule="auto"/>
    </w:pPr>
    <w:rPr>
      <w:rFonts w:eastAsiaTheme="majorEastAsia" w:cstheme="majorBidi"/>
      <w:color w:val="2F5496" w:themeColor="accent1" w:themeShade="BF"/>
      <w:sz w:val="40"/>
      <w:szCs w:val="32"/>
    </w:rPr>
  </w:style>
  <w:style w:type="paragraph" w:styleId="TM1">
    <w:name w:val="toc 1"/>
    <w:basedOn w:val="Titre1"/>
    <w:next w:val="Normal"/>
    <w:autoRedefine/>
    <w:uiPriority w:val="39"/>
    <w:unhideWhenUsed/>
    <w:qFormat/>
    <w:rsid w:val="00961A29"/>
    <w:pPr>
      <w:tabs>
        <w:tab w:val="right" w:pos="9214"/>
      </w:tabs>
      <w:spacing w:after="100"/>
    </w:pPr>
    <w:rPr>
      <w:sz w:val="24"/>
    </w:rPr>
  </w:style>
  <w:style w:type="paragraph" w:styleId="TM2">
    <w:name w:val="toc 2"/>
    <w:basedOn w:val="Normal"/>
    <w:next w:val="Normal"/>
    <w:autoRedefine/>
    <w:uiPriority w:val="39"/>
    <w:unhideWhenUsed/>
    <w:rsid w:val="000F36CA"/>
    <w:pPr>
      <w:tabs>
        <w:tab w:val="right" w:pos="9214"/>
      </w:tabs>
      <w:spacing w:after="100"/>
      <w:ind w:left="200"/>
    </w:pPr>
    <w:rPr>
      <w:noProof/>
    </w:rPr>
  </w:style>
  <w:style w:type="paragraph" w:styleId="TM3">
    <w:name w:val="toc 3"/>
    <w:basedOn w:val="TM2"/>
    <w:next w:val="Normal"/>
    <w:autoRedefine/>
    <w:uiPriority w:val="39"/>
    <w:unhideWhenUsed/>
    <w:rsid w:val="00934309"/>
    <w:pPr>
      <w:ind w:left="397"/>
    </w:pPr>
  </w:style>
  <w:style w:type="character" w:styleId="Lienhypertexte">
    <w:name w:val="Hyperlink"/>
    <w:basedOn w:val="Policepardfaut"/>
    <w:uiPriority w:val="99"/>
    <w:qFormat/>
    <w:rsid w:val="00831ADD"/>
    <w:rPr>
      <w:color w:val="00B0F0"/>
      <w:u w:val="none"/>
    </w:rPr>
  </w:style>
  <w:style w:type="paragraph" w:styleId="Listepuces">
    <w:name w:val="List Bullet"/>
    <w:basedOn w:val="Normal"/>
    <w:uiPriority w:val="4"/>
    <w:qFormat/>
    <w:rsid w:val="009D76A6"/>
    <w:pPr>
      <w:numPr>
        <w:numId w:val="1"/>
      </w:numPr>
    </w:pPr>
  </w:style>
  <w:style w:type="paragraph" w:styleId="Listepuces2">
    <w:name w:val="List Bullet 2"/>
    <w:basedOn w:val="Normal"/>
    <w:uiPriority w:val="99"/>
    <w:semiHidden/>
    <w:unhideWhenUsed/>
    <w:rsid w:val="009D76A6"/>
    <w:pPr>
      <w:numPr>
        <w:numId w:val="2"/>
      </w:numPr>
      <w:contextualSpacing/>
    </w:pPr>
  </w:style>
  <w:style w:type="paragraph" w:styleId="Listepuces3">
    <w:name w:val="List Bullet 3"/>
    <w:basedOn w:val="Normal"/>
    <w:link w:val="Listepuces3Car"/>
    <w:uiPriority w:val="99"/>
    <w:unhideWhenUsed/>
    <w:rsid w:val="009D76A6"/>
    <w:pPr>
      <w:numPr>
        <w:numId w:val="5"/>
      </w:numPr>
      <w:contextualSpacing/>
    </w:pPr>
  </w:style>
  <w:style w:type="paragraph" w:styleId="Sous-titre">
    <w:name w:val="Subtitle"/>
    <w:aliases w:val="Bullet list 2"/>
    <w:basedOn w:val="Normal"/>
    <w:next w:val="Normal"/>
    <w:link w:val="Sous-titreCar"/>
    <w:uiPriority w:val="6"/>
    <w:qFormat/>
    <w:rsid w:val="00A747EF"/>
    <w:pPr>
      <w:numPr>
        <w:numId w:val="3"/>
      </w:numPr>
    </w:pPr>
    <w:rPr>
      <w:rFonts w:eastAsiaTheme="minorEastAsia" w:cs="Arial"/>
      <w:color w:val="000000" w:themeColor="text1"/>
    </w:rPr>
  </w:style>
  <w:style w:type="character" w:customStyle="1" w:styleId="Sous-titreCar">
    <w:name w:val="Sous-titre Car"/>
    <w:aliases w:val="Bullet list 2 Car"/>
    <w:basedOn w:val="Policepardfaut"/>
    <w:link w:val="Sous-titre"/>
    <w:uiPriority w:val="6"/>
    <w:rsid w:val="00FE09A7"/>
    <w:rPr>
      <w:rFonts w:ascii="Arial" w:eastAsiaTheme="minorEastAsia" w:hAnsi="Arial" w:cs="Arial"/>
      <w:color w:val="000000" w:themeColor="text1"/>
      <w:sz w:val="20"/>
      <w:szCs w:val="20"/>
    </w:rPr>
  </w:style>
  <w:style w:type="paragraph" w:customStyle="1" w:styleId="PRIQuoteBlue">
    <w:name w:val="PRI Quote Blue"/>
    <w:basedOn w:val="Citation"/>
    <w:link w:val="PRIQuoteBlueChar"/>
    <w:uiPriority w:val="8"/>
    <w:qFormat/>
    <w:rsid w:val="0057471B"/>
    <w:pPr>
      <w:spacing w:before="240" w:after="240"/>
      <w:ind w:left="0" w:right="0"/>
      <w:jc w:val="left"/>
    </w:pPr>
    <w:rPr>
      <w:i w:val="0"/>
      <w:iCs w:val="0"/>
      <w:color w:val="00B0F0"/>
      <w:sz w:val="32"/>
    </w:rPr>
  </w:style>
  <w:style w:type="character" w:customStyle="1" w:styleId="PRIQuoteBlueChar">
    <w:name w:val="PRI Quote Blue Char"/>
    <w:basedOn w:val="Policepardfaut"/>
    <w:link w:val="PRIQuoteBlue"/>
    <w:uiPriority w:val="8"/>
    <w:rsid w:val="00FE09A7"/>
    <w:rPr>
      <w:rFonts w:ascii="Arial" w:eastAsia="MS PGothic" w:hAnsi="Arial" w:cs="Times New Roman"/>
      <w:color w:val="00B0F0"/>
      <w:sz w:val="32"/>
      <w:szCs w:val="20"/>
    </w:rPr>
  </w:style>
  <w:style w:type="paragraph" w:styleId="Citation">
    <w:name w:val="Quote"/>
    <w:basedOn w:val="Normal"/>
    <w:next w:val="Normal"/>
    <w:link w:val="CitationCar"/>
    <w:uiPriority w:val="29"/>
    <w:rsid w:val="0057471B"/>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57471B"/>
    <w:rPr>
      <w:rFonts w:ascii="Arial" w:hAnsi="Arial"/>
      <w:i/>
      <w:iCs/>
      <w:color w:val="404040" w:themeColor="text1" w:themeTint="BF"/>
      <w:sz w:val="20"/>
    </w:rPr>
  </w:style>
  <w:style w:type="paragraph" w:customStyle="1" w:styleId="Bulletlist3">
    <w:name w:val="Bullet list 3"/>
    <w:basedOn w:val="Listepuces3"/>
    <w:link w:val="Bulletlist3Char"/>
    <w:uiPriority w:val="7"/>
    <w:qFormat/>
    <w:rsid w:val="00A747EF"/>
  </w:style>
  <w:style w:type="paragraph" w:customStyle="1" w:styleId="Bullestlist2">
    <w:name w:val="Bullest list 2"/>
    <w:basedOn w:val="Listepuces"/>
    <w:uiPriority w:val="7"/>
    <w:rsid w:val="00A747EF"/>
    <w:pPr>
      <w:numPr>
        <w:numId w:val="4"/>
      </w:numPr>
    </w:pPr>
  </w:style>
  <w:style w:type="table" w:styleId="Grilledutableau">
    <w:name w:val="Table Grid"/>
    <w:basedOn w:val="TableauNormal"/>
    <w:uiPriority w:val="39"/>
    <w:rsid w:val="00184F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puces3Car">
    <w:name w:val="Liste à puces 3 Car"/>
    <w:basedOn w:val="Policepardfaut"/>
    <w:link w:val="Listepuces3"/>
    <w:uiPriority w:val="99"/>
    <w:rsid w:val="00A747EF"/>
    <w:rPr>
      <w:rFonts w:ascii="Arial" w:eastAsia="MS PGothic" w:hAnsi="Arial" w:cs="Times New Roman"/>
      <w:sz w:val="20"/>
      <w:szCs w:val="20"/>
    </w:rPr>
  </w:style>
  <w:style w:type="character" w:customStyle="1" w:styleId="Bulletlist3Char">
    <w:name w:val="Bullet list 3 Char"/>
    <w:basedOn w:val="Listepuces3Car"/>
    <w:link w:val="Bulletlist3"/>
    <w:uiPriority w:val="7"/>
    <w:rsid w:val="00FE09A7"/>
    <w:rPr>
      <w:rFonts w:ascii="Arial" w:eastAsia="MS PGothic" w:hAnsi="Arial" w:cs="Times New Roman"/>
      <w:sz w:val="20"/>
      <w:szCs w:val="20"/>
    </w:rPr>
  </w:style>
  <w:style w:type="table" w:customStyle="1" w:styleId="GridTable2-Accent51">
    <w:name w:val="Grid Table 2 - Accent 51"/>
    <w:basedOn w:val="TableauNormal"/>
    <w:uiPriority w:val="47"/>
    <w:rsid w:val="00184F1A"/>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UnresolvedMention1">
    <w:name w:val="Unresolved Mention1"/>
    <w:basedOn w:val="Policepardfaut"/>
    <w:uiPriority w:val="99"/>
    <w:unhideWhenUsed/>
    <w:rsid w:val="00743B12"/>
    <w:rPr>
      <w:color w:val="808080"/>
      <w:shd w:val="clear" w:color="auto" w:fill="E6E6E6"/>
    </w:rPr>
  </w:style>
  <w:style w:type="paragraph" w:customStyle="1" w:styleId="Bullet1">
    <w:name w:val="Bullet 1"/>
    <w:basedOn w:val="Normal"/>
    <w:rsid w:val="00743B12"/>
    <w:pPr>
      <w:numPr>
        <w:numId w:val="6"/>
      </w:numPr>
      <w:spacing w:before="60" w:line="240" w:lineRule="auto"/>
    </w:pPr>
    <w:rPr>
      <w:rFonts w:ascii="Times New Roman" w:eastAsia="Times New Roman" w:hAnsi="Times New Roman"/>
      <w:sz w:val="24"/>
      <w:szCs w:val="24"/>
    </w:rPr>
  </w:style>
  <w:style w:type="paragraph" w:styleId="Commentaire">
    <w:name w:val="annotation text"/>
    <w:basedOn w:val="Normal"/>
    <w:link w:val="CommentaireCar"/>
    <w:uiPriority w:val="99"/>
    <w:unhideWhenUsed/>
    <w:rsid w:val="003058F5"/>
    <w:pPr>
      <w:spacing w:line="240" w:lineRule="auto"/>
    </w:pPr>
    <w:rPr>
      <w:rFonts w:ascii="Times New Roman" w:eastAsia="Times New Roman" w:hAnsi="Times New Roman"/>
    </w:rPr>
  </w:style>
  <w:style w:type="character" w:customStyle="1" w:styleId="CommentaireCar">
    <w:name w:val="Commentaire Car"/>
    <w:basedOn w:val="Policepardfaut"/>
    <w:link w:val="Commentaire"/>
    <w:uiPriority w:val="99"/>
    <w:rsid w:val="003058F5"/>
    <w:rPr>
      <w:rFonts w:ascii="Times New Roman" w:eastAsia="Times New Roman" w:hAnsi="Times New Roman" w:cs="Times New Roman"/>
      <w:sz w:val="20"/>
      <w:szCs w:val="20"/>
    </w:rPr>
  </w:style>
  <w:style w:type="paragraph" w:customStyle="1" w:styleId="paragraph">
    <w:name w:val="paragraph"/>
    <w:basedOn w:val="Normal"/>
    <w:rsid w:val="00743B12"/>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basedOn w:val="Policepardfaut"/>
    <w:rsid w:val="00743B12"/>
  </w:style>
  <w:style w:type="character" w:styleId="lev">
    <w:name w:val="Strong"/>
    <w:basedOn w:val="Policepardfaut"/>
    <w:uiPriority w:val="9"/>
    <w:qFormat/>
    <w:rsid w:val="00D77F40"/>
    <w:rPr>
      <w:b/>
      <w:bCs/>
    </w:rPr>
  </w:style>
  <w:style w:type="paragraph" w:styleId="NormalWeb">
    <w:name w:val="Normal (Web)"/>
    <w:basedOn w:val="Normal"/>
    <w:uiPriority w:val="99"/>
    <w:unhideWhenUsed/>
    <w:rsid w:val="00D75F76"/>
    <w:pPr>
      <w:spacing w:before="100" w:beforeAutospacing="1" w:after="100" w:afterAutospacing="1"/>
    </w:pPr>
    <w:rPr>
      <w:rFonts w:ascii="Times" w:hAnsi="Times"/>
    </w:rPr>
  </w:style>
  <w:style w:type="table" w:customStyle="1" w:styleId="PRITable2">
    <w:name w:val="PRI Table 2"/>
    <w:basedOn w:val="TableauNormal"/>
    <w:uiPriority w:val="99"/>
    <w:rsid w:val="00D75F76"/>
    <w:pPr>
      <w:spacing w:after="0" w:line="312" w:lineRule="auto"/>
      <w:ind w:left="170" w:right="170" w:hanging="357"/>
    </w:pPr>
    <w:rPr>
      <w:rFonts w:ascii="Arial" w:eastAsia="MS PGothic" w:hAnsi="Arial" w:cs="Times New Roman"/>
      <w:sz w:val="20"/>
      <w:szCs w:val="20"/>
    </w:rPr>
    <w:tblP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13" w:type="dxa"/>
        <w:left w:w="0" w:type="dxa"/>
        <w:bottom w:w="113" w:type="dxa"/>
        <w:right w:w="0" w:type="dxa"/>
      </w:tblCellMar>
    </w:tblPr>
    <w:tcPr>
      <w:tcMar>
        <w:top w:w="57" w:type="dxa"/>
        <w:bottom w:w="57" w:type="dxa"/>
      </w:tcMar>
    </w:tcPr>
    <w:tblStylePr w:type="firstRow">
      <w:pPr>
        <w:wordWrap/>
        <w:spacing w:beforeLines="0" w:beforeAutospacing="0" w:afterLines="0" w:afterAutospacing="0"/>
        <w:ind w:leftChars="0" w:left="170" w:rightChars="0" w:right="170"/>
        <w:jc w:val="left"/>
      </w:pPr>
      <w:rPr>
        <w:rFonts w:ascii="Arial" w:hAnsi="Arial"/>
        <w:b/>
        <w:bCs/>
        <w:i w:val="0"/>
        <w:iCs w:val="0"/>
        <w:caps w:val="0"/>
        <w:smallCaps w:val="0"/>
        <w:strike w:val="0"/>
        <w:dstrike w:val="0"/>
        <w:vanish w:val="0"/>
        <w:color w:val="FFFFFF" w:themeColor="background1"/>
        <w:kern w:val="0"/>
        <w:sz w:val="24"/>
        <w:szCs w:val="24"/>
        <w:vertAlign w:val="baseline"/>
      </w:rPr>
      <w:tblPr/>
      <w:tcPr>
        <w:tcBorders>
          <w:top w:val="single" w:sz="4" w:space="0" w:color="808080"/>
          <w:left w:val="single" w:sz="4" w:space="0" w:color="808080"/>
          <w:bottom w:val="single" w:sz="4" w:space="0" w:color="808080"/>
          <w:right w:val="single" w:sz="4" w:space="0" w:color="808080"/>
          <w:insideH w:val="single" w:sz="4" w:space="0" w:color="808080"/>
          <w:insideV w:val="single" w:sz="4" w:space="0" w:color="FFFFFF"/>
        </w:tcBorders>
        <w:shd w:val="clear" w:color="auto" w:fill="1875C1"/>
      </w:tcPr>
    </w:tblStylePr>
    <w:tblStylePr w:type="firstCol">
      <w:rPr>
        <w:rFonts w:ascii="Arial" w:hAnsi="Arial"/>
        <w:b w:val="0"/>
        <w:i w:val="0"/>
        <w:sz w:val="20"/>
      </w:rPr>
    </w:tblStylePr>
  </w:style>
  <w:style w:type="paragraph" w:styleId="Notedefin">
    <w:name w:val="endnote text"/>
    <w:basedOn w:val="Normal"/>
    <w:link w:val="NotedefinCar"/>
    <w:uiPriority w:val="99"/>
    <w:semiHidden/>
    <w:unhideWhenUsed/>
    <w:rsid w:val="00E83508"/>
    <w:pPr>
      <w:spacing w:line="240" w:lineRule="auto"/>
    </w:pPr>
  </w:style>
  <w:style w:type="character" w:customStyle="1" w:styleId="NotedefinCar">
    <w:name w:val="Note de fin Car"/>
    <w:basedOn w:val="Policepardfaut"/>
    <w:link w:val="Notedefin"/>
    <w:uiPriority w:val="99"/>
    <w:semiHidden/>
    <w:rsid w:val="00E83508"/>
    <w:rPr>
      <w:rFonts w:ascii="Arial" w:eastAsia="MS PGothic" w:hAnsi="Arial" w:cs="Times New Roman"/>
      <w:sz w:val="20"/>
      <w:szCs w:val="20"/>
    </w:rPr>
  </w:style>
  <w:style w:type="character" w:styleId="Appeldenotedefin">
    <w:name w:val="endnote reference"/>
    <w:basedOn w:val="Policepardfaut"/>
    <w:uiPriority w:val="99"/>
    <w:semiHidden/>
    <w:unhideWhenUsed/>
    <w:rsid w:val="00E83508"/>
    <w:rPr>
      <w:vertAlign w:val="superscript"/>
    </w:rPr>
  </w:style>
  <w:style w:type="paragraph" w:styleId="Notedebasdepage">
    <w:name w:val="footnote text"/>
    <w:basedOn w:val="Normal"/>
    <w:link w:val="NotedebasdepageCar"/>
    <w:uiPriority w:val="99"/>
    <w:unhideWhenUsed/>
    <w:rsid w:val="00E83508"/>
    <w:pPr>
      <w:spacing w:line="240" w:lineRule="auto"/>
    </w:pPr>
    <w:rPr>
      <w:color w:val="767171" w:themeColor="background2" w:themeShade="80"/>
      <w:sz w:val="16"/>
    </w:rPr>
  </w:style>
  <w:style w:type="character" w:customStyle="1" w:styleId="NotedebasdepageCar">
    <w:name w:val="Note de bas de page Car"/>
    <w:basedOn w:val="Policepardfaut"/>
    <w:link w:val="Notedebasdepage"/>
    <w:uiPriority w:val="99"/>
    <w:rsid w:val="00E83508"/>
    <w:rPr>
      <w:rFonts w:ascii="Arial" w:eastAsia="MS PGothic" w:hAnsi="Arial" w:cs="Times New Roman"/>
      <w:color w:val="767171" w:themeColor="background2" w:themeShade="80"/>
      <w:sz w:val="16"/>
      <w:szCs w:val="20"/>
    </w:rPr>
  </w:style>
  <w:style w:type="character" w:styleId="Appelnotedebasdep">
    <w:name w:val="footnote reference"/>
    <w:basedOn w:val="Policepardfaut"/>
    <w:uiPriority w:val="99"/>
    <w:semiHidden/>
    <w:unhideWhenUsed/>
    <w:rsid w:val="00E83508"/>
    <w:rPr>
      <w:vertAlign w:val="superscript"/>
    </w:rPr>
  </w:style>
  <w:style w:type="paragraph" w:customStyle="1" w:styleId="Footnotes">
    <w:name w:val="Footnotes"/>
    <w:basedOn w:val="Notedebasdepage"/>
    <w:next w:val="Notedebasdepage"/>
    <w:link w:val="FootnotesChar"/>
    <w:uiPriority w:val="5"/>
    <w:qFormat/>
    <w:rsid w:val="00AC0A51"/>
    <w:pPr>
      <w:widowControl w:val="0"/>
      <w:autoSpaceDE w:val="0"/>
      <w:autoSpaceDN w:val="0"/>
      <w:adjustRightInd w:val="0"/>
      <w:contextualSpacing/>
    </w:pPr>
  </w:style>
  <w:style w:type="character" w:customStyle="1" w:styleId="FootnotesChar">
    <w:name w:val="Footnotes Char"/>
    <w:basedOn w:val="NotedebasdepageCar"/>
    <w:link w:val="Footnotes"/>
    <w:uiPriority w:val="5"/>
    <w:rsid w:val="00AC0A51"/>
    <w:rPr>
      <w:rFonts w:ascii="Arial" w:eastAsia="MS PGothic" w:hAnsi="Arial" w:cs="Times New Roman"/>
      <w:color w:val="767171" w:themeColor="background2" w:themeShade="80"/>
      <w:sz w:val="16"/>
      <w:szCs w:val="20"/>
    </w:rPr>
  </w:style>
  <w:style w:type="character" w:customStyle="1" w:styleId="eop">
    <w:name w:val="eop"/>
    <w:basedOn w:val="Policepardfaut"/>
    <w:rsid w:val="00F573C1"/>
  </w:style>
  <w:style w:type="character" w:styleId="Marquedecommentaire">
    <w:name w:val="annotation reference"/>
    <w:basedOn w:val="Policepardfaut"/>
    <w:uiPriority w:val="99"/>
    <w:semiHidden/>
    <w:unhideWhenUsed/>
    <w:rsid w:val="00F573C1"/>
    <w:rPr>
      <w:sz w:val="16"/>
      <w:szCs w:val="16"/>
    </w:rPr>
  </w:style>
  <w:style w:type="paragraph" w:customStyle="1" w:styleId="2Body">
    <w:name w:val="2 Body"/>
    <w:basedOn w:val="Normal"/>
    <w:uiPriority w:val="99"/>
    <w:rsid w:val="00AF407C"/>
    <w:pPr>
      <w:suppressAutoHyphens/>
      <w:autoSpaceDE w:val="0"/>
      <w:autoSpaceDN w:val="0"/>
      <w:adjustRightInd w:val="0"/>
      <w:spacing w:line="288" w:lineRule="auto"/>
      <w:textAlignment w:val="center"/>
    </w:pPr>
    <w:rPr>
      <w:rFonts w:ascii="Alright Sans Regular" w:eastAsiaTheme="minorHAnsi" w:hAnsi="Alright Sans Regular" w:cs="Alright Sans Regular"/>
      <w:color w:val="000000"/>
      <w:sz w:val="18"/>
      <w:szCs w:val="18"/>
    </w:rPr>
  </w:style>
  <w:style w:type="table" w:customStyle="1" w:styleId="GridTable4-Accent51">
    <w:name w:val="Grid Table 4 - Accent 51"/>
    <w:basedOn w:val="TableauNormal"/>
    <w:uiPriority w:val="49"/>
    <w:rsid w:val="001F1948"/>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Objetducommentaire">
    <w:name w:val="annotation subject"/>
    <w:basedOn w:val="Commentaire"/>
    <w:next w:val="Commentaire"/>
    <w:link w:val="ObjetducommentaireCar"/>
    <w:uiPriority w:val="99"/>
    <w:semiHidden/>
    <w:unhideWhenUsed/>
    <w:rsid w:val="001F1948"/>
    <w:rPr>
      <w:rFonts w:ascii="Arial" w:eastAsia="MS PGothic" w:hAnsi="Arial"/>
      <w:b/>
      <w:bCs/>
    </w:rPr>
  </w:style>
  <w:style w:type="character" w:customStyle="1" w:styleId="ObjetducommentaireCar">
    <w:name w:val="Objet du commentaire Car"/>
    <w:basedOn w:val="CommentaireCar"/>
    <w:link w:val="Objetducommentaire"/>
    <w:uiPriority w:val="99"/>
    <w:semiHidden/>
    <w:rsid w:val="001F1948"/>
    <w:rPr>
      <w:rFonts w:ascii="Arial" w:eastAsia="MS PGothic" w:hAnsi="Arial" w:cs="Times New Roman"/>
      <w:b/>
      <w:bCs/>
      <w:sz w:val="20"/>
      <w:szCs w:val="20"/>
      <w:lang w:val="fr-FR"/>
    </w:rPr>
  </w:style>
  <w:style w:type="paragraph" w:styleId="Rvision">
    <w:name w:val="Revision"/>
    <w:hidden/>
    <w:uiPriority w:val="99"/>
    <w:semiHidden/>
    <w:rsid w:val="0075786B"/>
    <w:pPr>
      <w:spacing w:after="0" w:line="240" w:lineRule="auto"/>
    </w:pPr>
    <w:rPr>
      <w:rFonts w:ascii="Arial" w:eastAsia="MS PGothic" w:hAnsi="Arial" w:cs="Times New Roman"/>
      <w:sz w:val="20"/>
      <w:szCs w:val="20"/>
    </w:rPr>
  </w:style>
  <w:style w:type="table" w:customStyle="1" w:styleId="GridTable4-Accent11">
    <w:name w:val="Grid Table 4 - Accent 11"/>
    <w:basedOn w:val="TableauNormal"/>
    <w:uiPriority w:val="49"/>
    <w:rsid w:val="002F44C7"/>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Lienhypertextesuivivisit">
    <w:name w:val="FollowedHyperlink"/>
    <w:basedOn w:val="Policepardfaut"/>
    <w:uiPriority w:val="99"/>
    <w:semiHidden/>
    <w:unhideWhenUsed/>
    <w:rsid w:val="00A72B86"/>
    <w:rPr>
      <w:color w:val="954F72" w:themeColor="followedHyperlink"/>
      <w:u w:val="single"/>
    </w:rPr>
  </w:style>
  <w:style w:type="character" w:customStyle="1" w:styleId="Mention1">
    <w:name w:val="Mention1"/>
    <w:basedOn w:val="Policepardfaut"/>
    <w:uiPriority w:val="99"/>
    <w:unhideWhenUsed/>
    <w:rsid w:val="007C41D6"/>
    <w:rPr>
      <w:color w:val="2B579A"/>
      <w:shd w:val="clear" w:color="auto" w:fill="E1DFDD"/>
    </w:rPr>
  </w:style>
  <w:style w:type="paragraph" w:customStyle="1" w:styleId="Indicatorsubsection">
    <w:name w:val="Indicator subsection"/>
    <w:basedOn w:val="Titre2"/>
    <w:uiPriority w:val="5"/>
    <w:qFormat/>
    <w:rsid w:val="003F337B"/>
    <w:pPr>
      <w:spacing w:before="0" w:after="100" w:afterAutospacing="1"/>
      <w:jc w:val="center"/>
    </w:pPr>
    <w:rPr>
      <w:rFonts w:eastAsia="Times New Roman" w:cs="Arial"/>
      <w:bCs/>
      <w:caps w:val="0"/>
      <w:color w:val="000000" w:themeColor="text1"/>
      <w:sz w:val="22"/>
      <w:szCs w:val="22"/>
      <w:lang w:eastAsia="en-GB"/>
    </w:rPr>
  </w:style>
  <w:style w:type="paragraph" w:styleId="TM4">
    <w:name w:val="toc 4"/>
    <w:basedOn w:val="Normal"/>
    <w:next w:val="Normal"/>
    <w:autoRedefine/>
    <w:uiPriority w:val="39"/>
    <w:unhideWhenUsed/>
    <w:rsid w:val="002860A1"/>
    <w:pPr>
      <w:spacing w:after="100"/>
      <w:ind w:left="600"/>
    </w:pPr>
  </w:style>
  <w:style w:type="character" w:styleId="Mentionnonrsolue">
    <w:name w:val="Unresolved Mention"/>
    <w:basedOn w:val="Policepardfaut"/>
    <w:uiPriority w:val="99"/>
    <w:unhideWhenUsed/>
    <w:rsid w:val="00A7032F"/>
    <w:rPr>
      <w:color w:val="605E5C"/>
      <w:shd w:val="clear" w:color="auto" w:fill="E1DFDD"/>
    </w:rPr>
  </w:style>
  <w:style w:type="character" w:styleId="Mention">
    <w:name w:val="Mention"/>
    <w:basedOn w:val="Policepardfaut"/>
    <w:uiPriority w:val="99"/>
    <w:unhideWhenUsed/>
    <w:rsid w:val="00A7032F"/>
    <w:rPr>
      <w:color w:val="2B579A"/>
      <w:shd w:val="clear" w:color="auto" w:fill="E1DFDD"/>
    </w:rPr>
  </w:style>
  <w:style w:type="table" w:styleId="TableauGrille4-Accentuation5">
    <w:name w:val="Grid Table 4 Accent 5"/>
    <w:basedOn w:val="TableauNormal"/>
    <w:uiPriority w:val="49"/>
    <w:rsid w:val="00A60772"/>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leausimple4">
    <w:name w:val="Plain Table 4"/>
    <w:basedOn w:val="TableauNormal"/>
    <w:uiPriority w:val="44"/>
    <w:rsid w:val="00A6077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987953">
      <w:bodyDiv w:val="1"/>
      <w:marLeft w:val="0"/>
      <w:marRight w:val="0"/>
      <w:marTop w:val="0"/>
      <w:marBottom w:val="0"/>
      <w:divBdr>
        <w:top w:val="none" w:sz="0" w:space="0" w:color="auto"/>
        <w:left w:val="none" w:sz="0" w:space="0" w:color="auto"/>
        <w:bottom w:val="none" w:sz="0" w:space="0" w:color="auto"/>
        <w:right w:val="none" w:sz="0" w:space="0" w:color="auto"/>
      </w:divBdr>
    </w:div>
    <w:div w:id="216741160">
      <w:bodyDiv w:val="1"/>
      <w:marLeft w:val="0"/>
      <w:marRight w:val="0"/>
      <w:marTop w:val="0"/>
      <w:marBottom w:val="0"/>
      <w:divBdr>
        <w:top w:val="none" w:sz="0" w:space="0" w:color="auto"/>
        <w:left w:val="none" w:sz="0" w:space="0" w:color="auto"/>
        <w:bottom w:val="none" w:sz="0" w:space="0" w:color="auto"/>
        <w:right w:val="none" w:sz="0" w:space="0" w:color="auto"/>
      </w:divBdr>
    </w:div>
    <w:div w:id="392461243">
      <w:bodyDiv w:val="1"/>
      <w:marLeft w:val="0"/>
      <w:marRight w:val="0"/>
      <w:marTop w:val="0"/>
      <w:marBottom w:val="0"/>
      <w:divBdr>
        <w:top w:val="none" w:sz="0" w:space="0" w:color="auto"/>
        <w:left w:val="none" w:sz="0" w:space="0" w:color="auto"/>
        <w:bottom w:val="none" w:sz="0" w:space="0" w:color="auto"/>
        <w:right w:val="none" w:sz="0" w:space="0" w:color="auto"/>
      </w:divBdr>
    </w:div>
    <w:div w:id="417099774">
      <w:bodyDiv w:val="1"/>
      <w:marLeft w:val="0"/>
      <w:marRight w:val="0"/>
      <w:marTop w:val="0"/>
      <w:marBottom w:val="0"/>
      <w:divBdr>
        <w:top w:val="none" w:sz="0" w:space="0" w:color="auto"/>
        <w:left w:val="none" w:sz="0" w:space="0" w:color="auto"/>
        <w:bottom w:val="none" w:sz="0" w:space="0" w:color="auto"/>
        <w:right w:val="none" w:sz="0" w:space="0" w:color="auto"/>
      </w:divBdr>
      <w:divsChild>
        <w:div w:id="1188182431">
          <w:marLeft w:val="0"/>
          <w:marRight w:val="0"/>
          <w:marTop w:val="0"/>
          <w:marBottom w:val="0"/>
          <w:divBdr>
            <w:top w:val="none" w:sz="0" w:space="0" w:color="auto"/>
            <w:left w:val="none" w:sz="0" w:space="0" w:color="auto"/>
            <w:bottom w:val="none" w:sz="0" w:space="0" w:color="auto"/>
            <w:right w:val="none" w:sz="0" w:space="0" w:color="auto"/>
          </w:divBdr>
        </w:div>
      </w:divsChild>
    </w:div>
    <w:div w:id="424231859">
      <w:bodyDiv w:val="1"/>
      <w:marLeft w:val="0"/>
      <w:marRight w:val="0"/>
      <w:marTop w:val="0"/>
      <w:marBottom w:val="0"/>
      <w:divBdr>
        <w:top w:val="none" w:sz="0" w:space="0" w:color="auto"/>
        <w:left w:val="none" w:sz="0" w:space="0" w:color="auto"/>
        <w:bottom w:val="none" w:sz="0" w:space="0" w:color="auto"/>
        <w:right w:val="none" w:sz="0" w:space="0" w:color="auto"/>
      </w:divBdr>
      <w:divsChild>
        <w:div w:id="1056511465">
          <w:marLeft w:val="0"/>
          <w:marRight w:val="0"/>
          <w:marTop w:val="0"/>
          <w:marBottom w:val="0"/>
          <w:divBdr>
            <w:top w:val="none" w:sz="0" w:space="0" w:color="auto"/>
            <w:left w:val="none" w:sz="0" w:space="0" w:color="auto"/>
            <w:bottom w:val="none" w:sz="0" w:space="0" w:color="auto"/>
            <w:right w:val="none" w:sz="0" w:space="0" w:color="auto"/>
          </w:divBdr>
          <w:divsChild>
            <w:div w:id="86752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657298">
      <w:bodyDiv w:val="1"/>
      <w:marLeft w:val="0"/>
      <w:marRight w:val="0"/>
      <w:marTop w:val="0"/>
      <w:marBottom w:val="0"/>
      <w:divBdr>
        <w:top w:val="none" w:sz="0" w:space="0" w:color="auto"/>
        <w:left w:val="none" w:sz="0" w:space="0" w:color="auto"/>
        <w:bottom w:val="none" w:sz="0" w:space="0" w:color="auto"/>
        <w:right w:val="none" w:sz="0" w:space="0" w:color="auto"/>
      </w:divBdr>
      <w:divsChild>
        <w:div w:id="1223367306">
          <w:marLeft w:val="0"/>
          <w:marRight w:val="0"/>
          <w:marTop w:val="0"/>
          <w:marBottom w:val="0"/>
          <w:divBdr>
            <w:top w:val="none" w:sz="0" w:space="0" w:color="auto"/>
            <w:left w:val="none" w:sz="0" w:space="0" w:color="auto"/>
            <w:bottom w:val="none" w:sz="0" w:space="0" w:color="auto"/>
            <w:right w:val="none" w:sz="0" w:space="0" w:color="auto"/>
          </w:divBdr>
          <w:divsChild>
            <w:div w:id="162426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212186">
      <w:bodyDiv w:val="1"/>
      <w:marLeft w:val="0"/>
      <w:marRight w:val="0"/>
      <w:marTop w:val="0"/>
      <w:marBottom w:val="0"/>
      <w:divBdr>
        <w:top w:val="none" w:sz="0" w:space="0" w:color="auto"/>
        <w:left w:val="none" w:sz="0" w:space="0" w:color="auto"/>
        <w:bottom w:val="none" w:sz="0" w:space="0" w:color="auto"/>
        <w:right w:val="none" w:sz="0" w:space="0" w:color="auto"/>
      </w:divBdr>
    </w:div>
    <w:div w:id="534538865">
      <w:bodyDiv w:val="1"/>
      <w:marLeft w:val="0"/>
      <w:marRight w:val="0"/>
      <w:marTop w:val="0"/>
      <w:marBottom w:val="0"/>
      <w:divBdr>
        <w:top w:val="none" w:sz="0" w:space="0" w:color="auto"/>
        <w:left w:val="none" w:sz="0" w:space="0" w:color="auto"/>
        <w:bottom w:val="none" w:sz="0" w:space="0" w:color="auto"/>
        <w:right w:val="none" w:sz="0" w:space="0" w:color="auto"/>
      </w:divBdr>
    </w:div>
    <w:div w:id="569193600">
      <w:bodyDiv w:val="1"/>
      <w:marLeft w:val="0"/>
      <w:marRight w:val="0"/>
      <w:marTop w:val="0"/>
      <w:marBottom w:val="0"/>
      <w:divBdr>
        <w:top w:val="none" w:sz="0" w:space="0" w:color="auto"/>
        <w:left w:val="none" w:sz="0" w:space="0" w:color="auto"/>
        <w:bottom w:val="none" w:sz="0" w:space="0" w:color="auto"/>
        <w:right w:val="none" w:sz="0" w:space="0" w:color="auto"/>
      </w:divBdr>
    </w:div>
    <w:div w:id="645864586">
      <w:bodyDiv w:val="1"/>
      <w:marLeft w:val="0"/>
      <w:marRight w:val="0"/>
      <w:marTop w:val="0"/>
      <w:marBottom w:val="0"/>
      <w:divBdr>
        <w:top w:val="none" w:sz="0" w:space="0" w:color="auto"/>
        <w:left w:val="none" w:sz="0" w:space="0" w:color="auto"/>
        <w:bottom w:val="none" w:sz="0" w:space="0" w:color="auto"/>
        <w:right w:val="none" w:sz="0" w:space="0" w:color="auto"/>
      </w:divBdr>
    </w:div>
    <w:div w:id="687414284">
      <w:bodyDiv w:val="1"/>
      <w:marLeft w:val="0"/>
      <w:marRight w:val="0"/>
      <w:marTop w:val="0"/>
      <w:marBottom w:val="0"/>
      <w:divBdr>
        <w:top w:val="none" w:sz="0" w:space="0" w:color="auto"/>
        <w:left w:val="none" w:sz="0" w:space="0" w:color="auto"/>
        <w:bottom w:val="none" w:sz="0" w:space="0" w:color="auto"/>
        <w:right w:val="none" w:sz="0" w:space="0" w:color="auto"/>
      </w:divBdr>
    </w:div>
    <w:div w:id="730814597">
      <w:bodyDiv w:val="1"/>
      <w:marLeft w:val="0"/>
      <w:marRight w:val="0"/>
      <w:marTop w:val="0"/>
      <w:marBottom w:val="0"/>
      <w:divBdr>
        <w:top w:val="none" w:sz="0" w:space="0" w:color="auto"/>
        <w:left w:val="none" w:sz="0" w:space="0" w:color="auto"/>
        <w:bottom w:val="none" w:sz="0" w:space="0" w:color="auto"/>
        <w:right w:val="none" w:sz="0" w:space="0" w:color="auto"/>
      </w:divBdr>
      <w:divsChild>
        <w:div w:id="376779804">
          <w:marLeft w:val="0"/>
          <w:marRight w:val="0"/>
          <w:marTop w:val="0"/>
          <w:marBottom w:val="0"/>
          <w:divBdr>
            <w:top w:val="none" w:sz="0" w:space="0" w:color="auto"/>
            <w:left w:val="none" w:sz="0" w:space="0" w:color="auto"/>
            <w:bottom w:val="none" w:sz="0" w:space="0" w:color="auto"/>
            <w:right w:val="none" w:sz="0" w:space="0" w:color="auto"/>
          </w:divBdr>
          <w:divsChild>
            <w:div w:id="205018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561679">
      <w:bodyDiv w:val="1"/>
      <w:marLeft w:val="0"/>
      <w:marRight w:val="0"/>
      <w:marTop w:val="0"/>
      <w:marBottom w:val="0"/>
      <w:divBdr>
        <w:top w:val="none" w:sz="0" w:space="0" w:color="auto"/>
        <w:left w:val="none" w:sz="0" w:space="0" w:color="auto"/>
        <w:bottom w:val="none" w:sz="0" w:space="0" w:color="auto"/>
        <w:right w:val="none" w:sz="0" w:space="0" w:color="auto"/>
      </w:divBdr>
    </w:div>
    <w:div w:id="835221900">
      <w:bodyDiv w:val="1"/>
      <w:marLeft w:val="0"/>
      <w:marRight w:val="0"/>
      <w:marTop w:val="0"/>
      <w:marBottom w:val="0"/>
      <w:divBdr>
        <w:top w:val="none" w:sz="0" w:space="0" w:color="auto"/>
        <w:left w:val="none" w:sz="0" w:space="0" w:color="auto"/>
        <w:bottom w:val="none" w:sz="0" w:space="0" w:color="auto"/>
        <w:right w:val="none" w:sz="0" w:space="0" w:color="auto"/>
      </w:divBdr>
    </w:div>
    <w:div w:id="882595832">
      <w:bodyDiv w:val="1"/>
      <w:marLeft w:val="0"/>
      <w:marRight w:val="0"/>
      <w:marTop w:val="0"/>
      <w:marBottom w:val="0"/>
      <w:divBdr>
        <w:top w:val="none" w:sz="0" w:space="0" w:color="auto"/>
        <w:left w:val="none" w:sz="0" w:space="0" w:color="auto"/>
        <w:bottom w:val="none" w:sz="0" w:space="0" w:color="auto"/>
        <w:right w:val="none" w:sz="0" w:space="0" w:color="auto"/>
      </w:divBdr>
    </w:div>
    <w:div w:id="918440578">
      <w:bodyDiv w:val="1"/>
      <w:marLeft w:val="0"/>
      <w:marRight w:val="0"/>
      <w:marTop w:val="0"/>
      <w:marBottom w:val="0"/>
      <w:divBdr>
        <w:top w:val="none" w:sz="0" w:space="0" w:color="auto"/>
        <w:left w:val="none" w:sz="0" w:space="0" w:color="auto"/>
        <w:bottom w:val="none" w:sz="0" w:space="0" w:color="auto"/>
        <w:right w:val="none" w:sz="0" w:space="0" w:color="auto"/>
      </w:divBdr>
    </w:div>
    <w:div w:id="1043871107">
      <w:bodyDiv w:val="1"/>
      <w:marLeft w:val="0"/>
      <w:marRight w:val="0"/>
      <w:marTop w:val="0"/>
      <w:marBottom w:val="0"/>
      <w:divBdr>
        <w:top w:val="none" w:sz="0" w:space="0" w:color="auto"/>
        <w:left w:val="none" w:sz="0" w:space="0" w:color="auto"/>
        <w:bottom w:val="none" w:sz="0" w:space="0" w:color="auto"/>
        <w:right w:val="none" w:sz="0" w:space="0" w:color="auto"/>
      </w:divBdr>
    </w:div>
    <w:div w:id="1126504897">
      <w:bodyDiv w:val="1"/>
      <w:marLeft w:val="0"/>
      <w:marRight w:val="0"/>
      <w:marTop w:val="0"/>
      <w:marBottom w:val="0"/>
      <w:divBdr>
        <w:top w:val="none" w:sz="0" w:space="0" w:color="auto"/>
        <w:left w:val="none" w:sz="0" w:space="0" w:color="auto"/>
        <w:bottom w:val="none" w:sz="0" w:space="0" w:color="auto"/>
        <w:right w:val="none" w:sz="0" w:space="0" w:color="auto"/>
      </w:divBdr>
      <w:divsChild>
        <w:div w:id="26683293">
          <w:marLeft w:val="0"/>
          <w:marRight w:val="0"/>
          <w:marTop w:val="0"/>
          <w:marBottom w:val="0"/>
          <w:divBdr>
            <w:top w:val="none" w:sz="0" w:space="0" w:color="auto"/>
            <w:left w:val="none" w:sz="0" w:space="0" w:color="auto"/>
            <w:bottom w:val="none" w:sz="0" w:space="0" w:color="auto"/>
            <w:right w:val="none" w:sz="0" w:space="0" w:color="auto"/>
          </w:divBdr>
          <w:divsChild>
            <w:div w:id="1210384567">
              <w:marLeft w:val="0"/>
              <w:marRight w:val="0"/>
              <w:marTop w:val="0"/>
              <w:marBottom w:val="0"/>
              <w:divBdr>
                <w:top w:val="none" w:sz="0" w:space="0" w:color="auto"/>
                <w:left w:val="none" w:sz="0" w:space="0" w:color="auto"/>
                <w:bottom w:val="none" w:sz="0" w:space="0" w:color="auto"/>
                <w:right w:val="none" w:sz="0" w:space="0" w:color="auto"/>
              </w:divBdr>
            </w:div>
          </w:divsChild>
        </w:div>
        <w:div w:id="123741367">
          <w:marLeft w:val="0"/>
          <w:marRight w:val="0"/>
          <w:marTop w:val="0"/>
          <w:marBottom w:val="0"/>
          <w:divBdr>
            <w:top w:val="none" w:sz="0" w:space="0" w:color="auto"/>
            <w:left w:val="none" w:sz="0" w:space="0" w:color="auto"/>
            <w:bottom w:val="none" w:sz="0" w:space="0" w:color="auto"/>
            <w:right w:val="none" w:sz="0" w:space="0" w:color="auto"/>
          </w:divBdr>
          <w:divsChild>
            <w:div w:id="419836981">
              <w:marLeft w:val="0"/>
              <w:marRight w:val="0"/>
              <w:marTop w:val="0"/>
              <w:marBottom w:val="0"/>
              <w:divBdr>
                <w:top w:val="none" w:sz="0" w:space="0" w:color="auto"/>
                <w:left w:val="none" w:sz="0" w:space="0" w:color="auto"/>
                <w:bottom w:val="none" w:sz="0" w:space="0" w:color="auto"/>
                <w:right w:val="none" w:sz="0" w:space="0" w:color="auto"/>
              </w:divBdr>
            </w:div>
            <w:div w:id="1775785990">
              <w:marLeft w:val="0"/>
              <w:marRight w:val="0"/>
              <w:marTop w:val="0"/>
              <w:marBottom w:val="0"/>
              <w:divBdr>
                <w:top w:val="none" w:sz="0" w:space="0" w:color="auto"/>
                <w:left w:val="none" w:sz="0" w:space="0" w:color="auto"/>
                <w:bottom w:val="none" w:sz="0" w:space="0" w:color="auto"/>
                <w:right w:val="none" w:sz="0" w:space="0" w:color="auto"/>
              </w:divBdr>
            </w:div>
            <w:div w:id="1862354094">
              <w:marLeft w:val="0"/>
              <w:marRight w:val="0"/>
              <w:marTop w:val="0"/>
              <w:marBottom w:val="0"/>
              <w:divBdr>
                <w:top w:val="none" w:sz="0" w:space="0" w:color="auto"/>
                <w:left w:val="none" w:sz="0" w:space="0" w:color="auto"/>
                <w:bottom w:val="none" w:sz="0" w:space="0" w:color="auto"/>
                <w:right w:val="none" w:sz="0" w:space="0" w:color="auto"/>
              </w:divBdr>
            </w:div>
          </w:divsChild>
        </w:div>
        <w:div w:id="155583656">
          <w:marLeft w:val="0"/>
          <w:marRight w:val="0"/>
          <w:marTop w:val="0"/>
          <w:marBottom w:val="0"/>
          <w:divBdr>
            <w:top w:val="none" w:sz="0" w:space="0" w:color="auto"/>
            <w:left w:val="none" w:sz="0" w:space="0" w:color="auto"/>
            <w:bottom w:val="none" w:sz="0" w:space="0" w:color="auto"/>
            <w:right w:val="none" w:sz="0" w:space="0" w:color="auto"/>
          </w:divBdr>
          <w:divsChild>
            <w:div w:id="910627137">
              <w:marLeft w:val="0"/>
              <w:marRight w:val="0"/>
              <w:marTop w:val="0"/>
              <w:marBottom w:val="0"/>
              <w:divBdr>
                <w:top w:val="none" w:sz="0" w:space="0" w:color="auto"/>
                <w:left w:val="none" w:sz="0" w:space="0" w:color="auto"/>
                <w:bottom w:val="none" w:sz="0" w:space="0" w:color="auto"/>
                <w:right w:val="none" w:sz="0" w:space="0" w:color="auto"/>
              </w:divBdr>
            </w:div>
          </w:divsChild>
        </w:div>
        <w:div w:id="264575995">
          <w:marLeft w:val="0"/>
          <w:marRight w:val="0"/>
          <w:marTop w:val="0"/>
          <w:marBottom w:val="0"/>
          <w:divBdr>
            <w:top w:val="none" w:sz="0" w:space="0" w:color="auto"/>
            <w:left w:val="none" w:sz="0" w:space="0" w:color="auto"/>
            <w:bottom w:val="none" w:sz="0" w:space="0" w:color="auto"/>
            <w:right w:val="none" w:sz="0" w:space="0" w:color="auto"/>
          </w:divBdr>
          <w:divsChild>
            <w:div w:id="105932848">
              <w:marLeft w:val="0"/>
              <w:marRight w:val="0"/>
              <w:marTop w:val="0"/>
              <w:marBottom w:val="0"/>
              <w:divBdr>
                <w:top w:val="none" w:sz="0" w:space="0" w:color="auto"/>
                <w:left w:val="none" w:sz="0" w:space="0" w:color="auto"/>
                <w:bottom w:val="none" w:sz="0" w:space="0" w:color="auto"/>
                <w:right w:val="none" w:sz="0" w:space="0" w:color="auto"/>
              </w:divBdr>
            </w:div>
          </w:divsChild>
        </w:div>
        <w:div w:id="274025878">
          <w:marLeft w:val="0"/>
          <w:marRight w:val="0"/>
          <w:marTop w:val="0"/>
          <w:marBottom w:val="0"/>
          <w:divBdr>
            <w:top w:val="none" w:sz="0" w:space="0" w:color="auto"/>
            <w:left w:val="none" w:sz="0" w:space="0" w:color="auto"/>
            <w:bottom w:val="none" w:sz="0" w:space="0" w:color="auto"/>
            <w:right w:val="none" w:sz="0" w:space="0" w:color="auto"/>
          </w:divBdr>
          <w:divsChild>
            <w:div w:id="947273576">
              <w:marLeft w:val="0"/>
              <w:marRight w:val="0"/>
              <w:marTop w:val="0"/>
              <w:marBottom w:val="0"/>
              <w:divBdr>
                <w:top w:val="none" w:sz="0" w:space="0" w:color="auto"/>
                <w:left w:val="none" w:sz="0" w:space="0" w:color="auto"/>
                <w:bottom w:val="none" w:sz="0" w:space="0" w:color="auto"/>
                <w:right w:val="none" w:sz="0" w:space="0" w:color="auto"/>
              </w:divBdr>
            </w:div>
          </w:divsChild>
        </w:div>
        <w:div w:id="453137739">
          <w:marLeft w:val="0"/>
          <w:marRight w:val="0"/>
          <w:marTop w:val="0"/>
          <w:marBottom w:val="0"/>
          <w:divBdr>
            <w:top w:val="none" w:sz="0" w:space="0" w:color="auto"/>
            <w:left w:val="none" w:sz="0" w:space="0" w:color="auto"/>
            <w:bottom w:val="none" w:sz="0" w:space="0" w:color="auto"/>
            <w:right w:val="none" w:sz="0" w:space="0" w:color="auto"/>
          </w:divBdr>
          <w:divsChild>
            <w:div w:id="1623655104">
              <w:marLeft w:val="0"/>
              <w:marRight w:val="0"/>
              <w:marTop w:val="0"/>
              <w:marBottom w:val="0"/>
              <w:divBdr>
                <w:top w:val="none" w:sz="0" w:space="0" w:color="auto"/>
                <w:left w:val="none" w:sz="0" w:space="0" w:color="auto"/>
                <w:bottom w:val="none" w:sz="0" w:space="0" w:color="auto"/>
                <w:right w:val="none" w:sz="0" w:space="0" w:color="auto"/>
              </w:divBdr>
            </w:div>
          </w:divsChild>
        </w:div>
        <w:div w:id="527449697">
          <w:marLeft w:val="0"/>
          <w:marRight w:val="0"/>
          <w:marTop w:val="0"/>
          <w:marBottom w:val="0"/>
          <w:divBdr>
            <w:top w:val="none" w:sz="0" w:space="0" w:color="auto"/>
            <w:left w:val="none" w:sz="0" w:space="0" w:color="auto"/>
            <w:bottom w:val="none" w:sz="0" w:space="0" w:color="auto"/>
            <w:right w:val="none" w:sz="0" w:space="0" w:color="auto"/>
          </w:divBdr>
          <w:divsChild>
            <w:div w:id="1571500566">
              <w:marLeft w:val="0"/>
              <w:marRight w:val="0"/>
              <w:marTop w:val="0"/>
              <w:marBottom w:val="0"/>
              <w:divBdr>
                <w:top w:val="none" w:sz="0" w:space="0" w:color="auto"/>
                <w:left w:val="none" w:sz="0" w:space="0" w:color="auto"/>
                <w:bottom w:val="none" w:sz="0" w:space="0" w:color="auto"/>
                <w:right w:val="none" w:sz="0" w:space="0" w:color="auto"/>
              </w:divBdr>
            </w:div>
          </w:divsChild>
        </w:div>
        <w:div w:id="559096932">
          <w:marLeft w:val="0"/>
          <w:marRight w:val="0"/>
          <w:marTop w:val="0"/>
          <w:marBottom w:val="0"/>
          <w:divBdr>
            <w:top w:val="none" w:sz="0" w:space="0" w:color="auto"/>
            <w:left w:val="none" w:sz="0" w:space="0" w:color="auto"/>
            <w:bottom w:val="none" w:sz="0" w:space="0" w:color="auto"/>
            <w:right w:val="none" w:sz="0" w:space="0" w:color="auto"/>
          </w:divBdr>
          <w:divsChild>
            <w:div w:id="111940216">
              <w:marLeft w:val="0"/>
              <w:marRight w:val="0"/>
              <w:marTop w:val="0"/>
              <w:marBottom w:val="0"/>
              <w:divBdr>
                <w:top w:val="none" w:sz="0" w:space="0" w:color="auto"/>
                <w:left w:val="none" w:sz="0" w:space="0" w:color="auto"/>
                <w:bottom w:val="none" w:sz="0" w:space="0" w:color="auto"/>
                <w:right w:val="none" w:sz="0" w:space="0" w:color="auto"/>
              </w:divBdr>
            </w:div>
          </w:divsChild>
        </w:div>
        <w:div w:id="615210629">
          <w:marLeft w:val="0"/>
          <w:marRight w:val="0"/>
          <w:marTop w:val="0"/>
          <w:marBottom w:val="0"/>
          <w:divBdr>
            <w:top w:val="none" w:sz="0" w:space="0" w:color="auto"/>
            <w:left w:val="none" w:sz="0" w:space="0" w:color="auto"/>
            <w:bottom w:val="none" w:sz="0" w:space="0" w:color="auto"/>
            <w:right w:val="none" w:sz="0" w:space="0" w:color="auto"/>
          </w:divBdr>
          <w:divsChild>
            <w:div w:id="1254701408">
              <w:marLeft w:val="0"/>
              <w:marRight w:val="0"/>
              <w:marTop w:val="0"/>
              <w:marBottom w:val="0"/>
              <w:divBdr>
                <w:top w:val="none" w:sz="0" w:space="0" w:color="auto"/>
                <w:left w:val="none" w:sz="0" w:space="0" w:color="auto"/>
                <w:bottom w:val="none" w:sz="0" w:space="0" w:color="auto"/>
                <w:right w:val="none" w:sz="0" w:space="0" w:color="auto"/>
              </w:divBdr>
            </w:div>
          </w:divsChild>
        </w:div>
        <w:div w:id="1309826986">
          <w:marLeft w:val="0"/>
          <w:marRight w:val="0"/>
          <w:marTop w:val="0"/>
          <w:marBottom w:val="0"/>
          <w:divBdr>
            <w:top w:val="none" w:sz="0" w:space="0" w:color="auto"/>
            <w:left w:val="none" w:sz="0" w:space="0" w:color="auto"/>
            <w:bottom w:val="none" w:sz="0" w:space="0" w:color="auto"/>
            <w:right w:val="none" w:sz="0" w:space="0" w:color="auto"/>
          </w:divBdr>
          <w:divsChild>
            <w:div w:id="322592383">
              <w:marLeft w:val="0"/>
              <w:marRight w:val="0"/>
              <w:marTop w:val="0"/>
              <w:marBottom w:val="0"/>
              <w:divBdr>
                <w:top w:val="none" w:sz="0" w:space="0" w:color="auto"/>
                <w:left w:val="none" w:sz="0" w:space="0" w:color="auto"/>
                <w:bottom w:val="none" w:sz="0" w:space="0" w:color="auto"/>
                <w:right w:val="none" w:sz="0" w:space="0" w:color="auto"/>
              </w:divBdr>
            </w:div>
          </w:divsChild>
        </w:div>
        <w:div w:id="1388454299">
          <w:marLeft w:val="0"/>
          <w:marRight w:val="0"/>
          <w:marTop w:val="0"/>
          <w:marBottom w:val="0"/>
          <w:divBdr>
            <w:top w:val="none" w:sz="0" w:space="0" w:color="auto"/>
            <w:left w:val="none" w:sz="0" w:space="0" w:color="auto"/>
            <w:bottom w:val="none" w:sz="0" w:space="0" w:color="auto"/>
            <w:right w:val="none" w:sz="0" w:space="0" w:color="auto"/>
          </w:divBdr>
          <w:divsChild>
            <w:div w:id="506212558">
              <w:marLeft w:val="0"/>
              <w:marRight w:val="0"/>
              <w:marTop w:val="0"/>
              <w:marBottom w:val="0"/>
              <w:divBdr>
                <w:top w:val="none" w:sz="0" w:space="0" w:color="auto"/>
                <w:left w:val="none" w:sz="0" w:space="0" w:color="auto"/>
                <w:bottom w:val="none" w:sz="0" w:space="0" w:color="auto"/>
                <w:right w:val="none" w:sz="0" w:space="0" w:color="auto"/>
              </w:divBdr>
            </w:div>
          </w:divsChild>
        </w:div>
        <w:div w:id="1745838016">
          <w:marLeft w:val="0"/>
          <w:marRight w:val="0"/>
          <w:marTop w:val="0"/>
          <w:marBottom w:val="0"/>
          <w:divBdr>
            <w:top w:val="none" w:sz="0" w:space="0" w:color="auto"/>
            <w:left w:val="none" w:sz="0" w:space="0" w:color="auto"/>
            <w:bottom w:val="none" w:sz="0" w:space="0" w:color="auto"/>
            <w:right w:val="none" w:sz="0" w:space="0" w:color="auto"/>
          </w:divBdr>
          <w:divsChild>
            <w:div w:id="1116633716">
              <w:marLeft w:val="0"/>
              <w:marRight w:val="0"/>
              <w:marTop w:val="0"/>
              <w:marBottom w:val="0"/>
              <w:divBdr>
                <w:top w:val="none" w:sz="0" w:space="0" w:color="auto"/>
                <w:left w:val="none" w:sz="0" w:space="0" w:color="auto"/>
                <w:bottom w:val="none" w:sz="0" w:space="0" w:color="auto"/>
                <w:right w:val="none" w:sz="0" w:space="0" w:color="auto"/>
              </w:divBdr>
            </w:div>
          </w:divsChild>
        </w:div>
        <w:div w:id="1801531956">
          <w:marLeft w:val="0"/>
          <w:marRight w:val="0"/>
          <w:marTop w:val="0"/>
          <w:marBottom w:val="0"/>
          <w:divBdr>
            <w:top w:val="none" w:sz="0" w:space="0" w:color="auto"/>
            <w:left w:val="none" w:sz="0" w:space="0" w:color="auto"/>
            <w:bottom w:val="none" w:sz="0" w:space="0" w:color="auto"/>
            <w:right w:val="none" w:sz="0" w:space="0" w:color="auto"/>
          </w:divBdr>
          <w:divsChild>
            <w:div w:id="63321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700135">
      <w:bodyDiv w:val="1"/>
      <w:marLeft w:val="0"/>
      <w:marRight w:val="0"/>
      <w:marTop w:val="0"/>
      <w:marBottom w:val="0"/>
      <w:divBdr>
        <w:top w:val="none" w:sz="0" w:space="0" w:color="auto"/>
        <w:left w:val="none" w:sz="0" w:space="0" w:color="auto"/>
        <w:bottom w:val="none" w:sz="0" w:space="0" w:color="auto"/>
        <w:right w:val="none" w:sz="0" w:space="0" w:color="auto"/>
      </w:divBdr>
    </w:div>
    <w:div w:id="1253469749">
      <w:bodyDiv w:val="1"/>
      <w:marLeft w:val="0"/>
      <w:marRight w:val="0"/>
      <w:marTop w:val="0"/>
      <w:marBottom w:val="0"/>
      <w:divBdr>
        <w:top w:val="none" w:sz="0" w:space="0" w:color="auto"/>
        <w:left w:val="none" w:sz="0" w:space="0" w:color="auto"/>
        <w:bottom w:val="none" w:sz="0" w:space="0" w:color="auto"/>
        <w:right w:val="none" w:sz="0" w:space="0" w:color="auto"/>
      </w:divBdr>
    </w:div>
    <w:div w:id="1331834298">
      <w:bodyDiv w:val="1"/>
      <w:marLeft w:val="0"/>
      <w:marRight w:val="0"/>
      <w:marTop w:val="0"/>
      <w:marBottom w:val="0"/>
      <w:divBdr>
        <w:top w:val="none" w:sz="0" w:space="0" w:color="auto"/>
        <w:left w:val="none" w:sz="0" w:space="0" w:color="auto"/>
        <w:bottom w:val="none" w:sz="0" w:space="0" w:color="auto"/>
        <w:right w:val="none" w:sz="0" w:space="0" w:color="auto"/>
      </w:divBdr>
    </w:div>
    <w:div w:id="1493138383">
      <w:bodyDiv w:val="1"/>
      <w:marLeft w:val="0"/>
      <w:marRight w:val="0"/>
      <w:marTop w:val="0"/>
      <w:marBottom w:val="0"/>
      <w:divBdr>
        <w:top w:val="none" w:sz="0" w:space="0" w:color="auto"/>
        <w:left w:val="none" w:sz="0" w:space="0" w:color="auto"/>
        <w:bottom w:val="none" w:sz="0" w:space="0" w:color="auto"/>
        <w:right w:val="none" w:sz="0" w:space="0" w:color="auto"/>
      </w:divBdr>
      <w:divsChild>
        <w:div w:id="2141873525">
          <w:marLeft w:val="0"/>
          <w:marRight w:val="0"/>
          <w:marTop w:val="0"/>
          <w:marBottom w:val="0"/>
          <w:divBdr>
            <w:top w:val="none" w:sz="0" w:space="0" w:color="auto"/>
            <w:left w:val="none" w:sz="0" w:space="0" w:color="auto"/>
            <w:bottom w:val="none" w:sz="0" w:space="0" w:color="auto"/>
            <w:right w:val="none" w:sz="0" w:space="0" w:color="auto"/>
          </w:divBdr>
          <w:divsChild>
            <w:div w:id="477574721">
              <w:marLeft w:val="0"/>
              <w:marRight w:val="0"/>
              <w:marTop w:val="0"/>
              <w:marBottom w:val="0"/>
              <w:divBdr>
                <w:top w:val="none" w:sz="0" w:space="0" w:color="auto"/>
                <w:left w:val="none" w:sz="0" w:space="0" w:color="auto"/>
                <w:bottom w:val="none" w:sz="0" w:space="0" w:color="auto"/>
                <w:right w:val="none" w:sz="0" w:space="0" w:color="auto"/>
              </w:divBdr>
            </w:div>
            <w:div w:id="608052361">
              <w:marLeft w:val="0"/>
              <w:marRight w:val="0"/>
              <w:marTop w:val="0"/>
              <w:marBottom w:val="0"/>
              <w:divBdr>
                <w:top w:val="none" w:sz="0" w:space="0" w:color="auto"/>
                <w:left w:val="none" w:sz="0" w:space="0" w:color="auto"/>
                <w:bottom w:val="none" w:sz="0" w:space="0" w:color="auto"/>
                <w:right w:val="none" w:sz="0" w:space="0" w:color="auto"/>
              </w:divBdr>
            </w:div>
            <w:div w:id="1481076106">
              <w:marLeft w:val="0"/>
              <w:marRight w:val="0"/>
              <w:marTop w:val="0"/>
              <w:marBottom w:val="0"/>
              <w:divBdr>
                <w:top w:val="none" w:sz="0" w:space="0" w:color="auto"/>
                <w:left w:val="none" w:sz="0" w:space="0" w:color="auto"/>
                <w:bottom w:val="none" w:sz="0" w:space="0" w:color="auto"/>
                <w:right w:val="none" w:sz="0" w:space="0" w:color="auto"/>
              </w:divBdr>
            </w:div>
            <w:div w:id="1738629019">
              <w:marLeft w:val="0"/>
              <w:marRight w:val="0"/>
              <w:marTop w:val="0"/>
              <w:marBottom w:val="0"/>
              <w:divBdr>
                <w:top w:val="none" w:sz="0" w:space="0" w:color="auto"/>
                <w:left w:val="none" w:sz="0" w:space="0" w:color="auto"/>
                <w:bottom w:val="none" w:sz="0" w:space="0" w:color="auto"/>
                <w:right w:val="none" w:sz="0" w:space="0" w:color="auto"/>
              </w:divBdr>
            </w:div>
            <w:div w:id="190332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699373">
      <w:bodyDiv w:val="1"/>
      <w:marLeft w:val="0"/>
      <w:marRight w:val="0"/>
      <w:marTop w:val="0"/>
      <w:marBottom w:val="0"/>
      <w:divBdr>
        <w:top w:val="none" w:sz="0" w:space="0" w:color="auto"/>
        <w:left w:val="none" w:sz="0" w:space="0" w:color="auto"/>
        <w:bottom w:val="none" w:sz="0" w:space="0" w:color="auto"/>
        <w:right w:val="none" w:sz="0" w:space="0" w:color="auto"/>
      </w:divBdr>
      <w:divsChild>
        <w:div w:id="1504778044">
          <w:marLeft w:val="0"/>
          <w:marRight w:val="0"/>
          <w:marTop w:val="0"/>
          <w:marBottom w:val="0"/>
          <w:divBdr>
            <w:top w:val="none" w:sz="0" w:space="0" w:color="auto"/>
            <w:left w:val="none" w:sz="0" w:space="0" w:color="auto"/>
            <w:bottom w:val="none" w:sz="0" w:space="0" w:color="auto"/>
            <w:right w:val="none" w:sz="0" w:space="0" w:color="auto"/>
          </w:divBdr>
          <w:divsChild>
            <w:div w:id="1987391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176788">
      <w:bodyDiv w:val="1"/>
      <w:marLeft w:val="0"/>
      <w:marRight w:val="0"/>
      <w:marTop w:val="0"/>
      <w:marBottom w:val="0"/>
      <w:divBdr>
        <w:top w:val="none" w:sz="0" w:space="0" w:color="auto"/>
        <w:left w:val="none" w:sz="0" w:space="0" w:color="auto"/>
        <w:bottom w:val="none" w:sz="0" w:space="0" w:color="auto"/>
        <w:right w:val="none" w:sz="0" w:space="0" w:color="auto"/>
      </w:divBdr>
    </w:div>
    <w:div w:id="1802918175">
      <w:bodyDiv w:val="1"/>
      <w:marLeft w:val="0"/>
      <w:marRight w:val="0"/>
      <w:marTop w:val="0"/>
      <w:marBottom w:val="0"/>
      <w:divBdr>
        <w:top w:val="none" w:sz="0" w:space="0" w:color="auto"/>
        <w:left w:val="none" w:sz="0" w:space="0" w:color="auto"/>
        <w:bottom w:val="none" w:sz="0" w:space="0" w:color="auto"/>
        <w:right w:val="none" w:sz="0" w:space="0" w:color="auto"/>
      </w:divBdr>
      <w:divsChild>
        <w:div w:id="433750008">
          <w:marLeft w:val="0"/>
          <w:marRight w:val="0"/>
          <w:marTop w:val="0"/>
          <w:marBottom w:val="0"/>
          <w:divBdr>
            <w:top w:val="none" w:sz="0" w:space="0" w:color="auto"/>
            <w:left w:val="none" w:sz="0" w:space="0" w:color="auto"/>
            <w:bottom w:val="none" w:sz="0" w:space="0" w:color="auto"/>
            <w:right w:val="none" w:sz="0" w:space="0" w:color="auto"/>
          </w:divBdr>
        </w:div>
        <w:div w:id="867911632">
          <w:marLeft w:val="0"/>
          <w:marRight w:val="0"/>
          <w:marTop w:val="0"/>
          <w:marBottom w:val="0"/>
          <w:divBdr>
            <w:top w:val="none" w:sz="0" w:space="0" w:color="auto"/>
            <w:left w:val="none" w:sz="0" w:space="0" w:color="auto"/>
            <w:bottom w:val="none" w:sz="0" w:space="0" w:color="auto"/>
            <w:right w:val="none" w:sz="0" w:space="0" w:color="auto"/>
          </w:divBdr>
        </w:div>
      </w:divsChild>
    </w:div>
    <w:div w:id="1825196325">
      <w:bodyDiv w:val="1"/>
      <w:marLeft w:val="0"/>
      <w:marRight w:val="0"/>
      <w:marTop w:val="0"/>
      <w:marBottom w:val="0"/>
      <w:divBdr>
        <w:top w:val="none" w:sz="0" w:space="0" w:color="auto"/>
        <w:left w:val="none" w:sz="0" w:space="0" w:color="auto"/>
        <w:bottom w:val="none" w:sz="0" w:space="0" w:color="auto"/>
        <w:right w:val="none" w:sz="0" w:space="0" w:color="auto"/>
      </w:divBdr>
      <w:divsChild>
        <w:div w:id="22219442">
          <w:marLeft w:val="0"/>
          <w:marRight w:val="0"/>
          <w:marTop w:val="0"/>
          <w:marBottom w:val="0"/>
          <w:divBdr>
            <w:top w:val="none" w:sz="0" w:space="0" w:color="auto"/>
            <w:left w:val="none" w:sz="0" w:space="0" w:color="auto"/>
            <w:bottom w:val="none" w:sz="0" w:space="0" w:color="auto"/>
            <w:right w:val="none" w:sz="0" w:space="0" w:color="auto"/>
          </w:divBdr>
        </w:div>
        <w:div w:id="642126208">
          <w:marLeft w:val="0"/>
          <w:marRight w:val="0"/>
          <w:marTop w:val="0"/>
          <w:marBottom w:val="0"/>
          <w:divBdr>
            <w:top w:val="none" w:sz="0" w:space="0" w:color="auto"/>
            <w:left w:val="none" w:sz="0" w:space="0" w:color="auto"/>
            <w:bottom w:val="none" w:sz="0" w:space="0" w:color="auto"/>
            <w:right w:val="none" w:sz="0" w:space="0" w:color="auto"/>
          </w:divBdr>
        </w:div>
        <w:div w:id="716785460">
          <w:marLeft w:val="0"/>
          <w:marRight w:val="0"/>
          <w:marTop w:val="0"/>
          <w:marBottom w:val="0"/>
          <w:divBdr>
            <w:top w:val="none" w:sz="0" w:space="0" w:color="auto"/>
            <w:left w:val="none" w:sz="0" w:space="0" w:color="auto"/>
            <w:bottom w:val="none" w:sz="0" w:space="0" w:color="auto"/>
            <w:right w:val="none" w:sz="0" w:space="0" w:color="auto"/>
          </w:divBdr>
        </w:div>
        <w:div w:id="1287394362">
          <w:marLeft w:val="0"/>
          <w:marRight w:val="0"/>
          <w:marTop w:val="0"/>
          <w:marBottom w:val="0"/>
          <w:divBdr>
            <w:top w:val="none" w:sz="0" w:space="0" w:color="auto"/>
            <w:left w:val="none" w:sz="0" w:space="0" w:color="auto"/>
            <w:bottom w:val="none" w:sz="0" w:space="0" w:color="auto"/>
            <w:right w:val="none" w:sz="0" w:space="0" w:color="auto"/>
          </w:divBdr>
        </w:div>
        <w:div w:id="1616714391">
          <w:marLeft w:val="0"/>
          <w:marRight w:val="0"/>
          <w:marTop w:val="0"/>
          <w:marBottom w:val="0"/>
          <w:divBdr>
            <w:top w:val="none" w:sz="0" w:space="0" w:color="auto"/>
            <w:left w:val="none" w:sz="0" w:space="0" w:color="auto"/>
            <w:bottom w:val="none" w:sz="0" w:space="0" w:color="auto"/>
            <w:right w:val="none" w:sz="0" w:space="0" w:color="auto"/>
          </w:divBdr>
        </w:div>
      </w:divsChild>
    </w:div>
    <w:div w:id="1825924985">
      <w:bodyDiv w:val="1"/>
      <w:marLeft w:val="0"/>
      <w:marRight w:val="0"/>
      <w:marTop w:val="0"/>
      <w:marBottom w:val="0"/>
      <w:divBdr>
        <w:top w:val="none" w:sz="0" w:space="0" w:color="auto"/>
        <w:left w:val="none" w:sz="0" w:space="0" w:color="auto"/>
        <w:bottom w:val="none" w:sz="0" w:space="0" w:color="auto"/>
        <w:right w:val="none" w:sz="0" w:space="0" w:color="auto"/>
      </w:divBdr>
    </w:div>
    <w:div w:id="1911384198">
      <w:bodyDiv w:val="1"/>
      <w:marLeft w:val="0"/>
      <w:marRight w:val="0"/>
      <w:marTop w:val="0"/>
      <w:marBottom w:val="0"/>
      <w:divBdr>
        <w:top w:val="none" w:sz="0" w:space="0" w:color="auto"/>
        <w:left w:val="none" w:sz="0" w:space="0" w:color="auto"/>
        <w:bottom w:val="none" w:sz="0" w:space="0" w:color="auto"/>
        <w:right w:val="none" w:sz="0" w:space="0" w:color="auto"/>
      </w:divBdr>
      <w:divsChild>
        <w:div w:id="1920207529">
          <w:marLeft w:val="0"/>
          <w:marRight w:val="0"/>
          <w:marTop w:val="0"/>
          <w:marBottom w:val="0"/>
          <w:divBdr>
            <w:top w:val="none" w:sz="0" w:space="0" w:color="auto"/>
            <w:left w:val="none" w:sz="0" w:space="0" w:color="auto"/>
            <w:bottom w:val="none" w:sz="0" w:space="0" w:color="auto"/>
            <w:right w:val="none" w:sz="0" w:space="0" w:color="auto"/>
          </w:divBdr>
          <w:divsChild>
            <w:div w:id="73546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05563">
      <w:bodyDiv w:val="1"/>
      <w:marLeft w:val="0"/>
      <w:marRight w:val="0"/>
      <w:marTop w:val="0"/>
      <w:marBottom w:val="0"/>
      <w:divBdr>
        <w:top w:val="none" w:sz="0" w:space="0" w:color="auto"/>
        <w:left w:val="none" w:sz="0" w:space="0" w:color="auto"/>
        <w:bottom w:val="none" w:sz="0" w:space="0" w:color="auto"/>
        <w:right w:val="none" w:sz="0" w:space="0" w:color="auto"/>
      </w:divBdr>
      <w:divsChild>
        <w:div w:id="5404543">
          <w:marLeft w:val="0"/>
          <w:marRight w:val="0"/>
          <w:marTop w:val="0"/>
          <w:marBottom w:val="0"/>
          <w:divBdr>
            <w:top w:val="none" w:sz="0" w:space="0" w:color="auto"/>
            <w:left w:val="none" w:sz="0" w:space="0" w:color="auto"/>
            <w:bottom w:val="none" w:sz="0" w:space="0" w:color="auto"/>
            <w:right w:val="none" w:sz="0" w:space="0" w:color="auto"/>
          </w:divBdr>
        </w:div>
        <w:div w:id="8606074">
          <w:marLeft w:val="0"/>
          <w:marRight w:val="0"/>
          <w:marTop w:val="0"/>
          <w:marBottom w:val="0"/>
          <w:divBdr>
            <w:top w:val="none" w:sz="0" w:space="0" w:color="auto"/>
            <w:left w:val="none" w:sz="0" w:space="0" w:color="auto"/>
            <w:bottom w:val="none" w:sz="0" w:space="0" w:color="auto"/>
            <w:right w:val="none" w:sz="0" w:space="0" w:color="auto"/>
          </w:divBdr>
        </w:div>
        <w:div w:id="8870421">
          <w:marLeft w:val="0"/>
          <w:marRight w:val="0"/>
          <w:marTop w:val="0"/>
          <w:marBottom w:val="0"/>
          <w:divBdr>
            <w:top w:val="none" w:sz="0" w:space="0" w:color="auto"/>
            <w:left w:val="none" w:sz="0" w:space="0" w:color="auto"/>
            <w:bottom w:val="none" w:sz="0" w:space="0" w:color="auto"/>
            <w:right w:val="none" w:sz="0" w:space="0" w:color="auto"/>
          </w:divBdr>
          <w:divsChild>
            <w:div w:id="108597122">
              <w:marLeft w:val="0"/>
              <w:marRight w:val="0"/>
              <w:marTop w:val="0"/>
              <w:marBottom w:val="0"/>
              <w:divBdr>
                <w:top w:val="none" w:sz="0" w:space="0" w:color="auto"/>
                <w:left w:val="none" w:sz="0" w:space="0" w:color="auto"/>
                <w:bottom w:val="none" w:sz="0" w:space="0" w:color="auto"/>
                <w:right w:val="none" w:sz="0" w:space="0" w:color="auto"/>
              </w:divBdr>
            </w:div>
            <w:div w:id="180318612">
              <w:marLeft w:val="0"/>
              <w:marRight w:val="0"/>
              <w:marTop w:val="0"/>
              <w:marBottom w:val="0"/>
              <w:divBdr>
                <w:top w:val="none" w:sz="0" w:space="0" w:color="auto"/>
                <w:left w:val="none" w:sz="0" w:space="0" w:color="auto"/>
                <w:bottom w:val="none" w:sz="0" w:space="0" w:color="auto"/>
                <w:right w:val="none" w:sz="0" w:space="0" w:color="auto"/>
              </w:divBdr>
            </w:div>
            <w:div w:id="1713308849">
              <w:marLeft w:val="0"/>
              <w:marRight w:val="0"/>
              <w:marTop w:val="0"/>
              <w:marBottom w:val="0"/>
              <w:divBdr>
                <w:top w:val="none" w:sz="0" w:space="0" w:color="auto"/>
                <w:left w:val="none" w:sz="0" w:space="0" w:color="auto"/>
                <w:bottom w:val="none" w:sz="0" w:space="0" w:color="auto"/>
                <w:right w:val="none" w:sz="0" w:space="0" w:color="auto"/>
              </w:divBdr>
            </w:div>
            <w:div w:id="1763721168">
              <w:marLeft w:val="0"/>
              <w:marRight w:val="0"/>
              <w:marTop w:val="0"/>
              <w:marBottom w:val="0"/>
              <w:divBdr>
                <w:top w:val="none" w:sz="0" w:space="0" w:color="auto"/>
                <w:left w:val="none" w:sz="0" w:space="0" w:color="auto"/>
                <w:bottom w:val="none" w:sz="0" w:space="0" w:color="auto"/>
                <w:right w:val="none" w:sz="0" w:space="0" w:color="auto"/>
              </w:divBdr>
            </w:div>
            <w:div w:id="1859612316">
              <w:marLeft w:val="0"/>
              <w:marRight w:val="0"/>
              <w:marTop w:val="0"/>
              <w:marBottom w:val="0"/>
              <w:divBdr>
                <w:top w:val="none" w:sz="0" w:space="0" w:color="auto"/>
                <w:left w:val="none" w:sz="0" w:space="0" w:color="auto"/>
                <w:bottom w:val="none" w:sz="0" w:space="0" w:color="auto"/>
                <w:right w:val="none" w:sz="0" w:space="0" w:color="auto"/>
              </w:divBdr>
            </w:div>
          </w:divsChild>
        </w:div>
        <w:div w:id="11928336">
          <w:marLeft w:val="0"/>
          <w:marRight w:val="0"/>
          <w:marTop w:val="0"/>
          <w:marBottom w:val="0"/>
          <w:divBdr>
            <w:top w:val="none" w:sz="0" w:space="0" w:color="auto"/>
            <w:left w:val="none" w:sz="0" w:space="0" w:color="auto"/>
            <w:bottom w:val="none" w:sz="0" w:space="0" w:color="auto"/>
            <w:right w:val="none" w:sz="0" w:space="0" w:color="auto"/>
          </w:divBdr>
        </w:div>
        <w:div w:id="15890798">
          <w:marLeft w:val="0"/>
          <w:marRight w:val="0"/>
          <w:marTop w:val="0"/>
          <w:marBottom w:val="0"/>
          <w:divBdr>
            <w:top w:val="none" w:sz="0" w:space="0" w:color="auto"/>
            <w:left w:val="none" w:sz="0" w:space="0" w:color="auto"/>
            <w:bottom w:val="none" w:sz="0" w:space="0" w:color="auto"/>
            <w:right w:val="none" w:sz="0" w:space="0" w:color="auto"/>
          </w:divBdr>
        </w:div>
        <w:div w:id="19016176">
          <w:marLeft w:val="0"/>
          <w:marRight w:val="0"/>
          <w:marTop w:val="0"/>
          <w:marBottom w:val="0"/>
          <w:divBdr>
            <w:top w:val="none" w:sz="0" w:space="0" w:color="auto"/>
            <w:left w:val="none" w:sz="0" w:space="0" w:color="auto"/>
            <w:bottom w:val="none" w:sz="0" w:space="0" w:color="auto"/>
            <w:right w:val="none" w:sz="0" w:space="0" w:color="auto"/>
          </w:divBdr>
        </w:div>
        <w:div w:id="28184184">
          <w:marLeft w:val="0"/>
          <w:marRight w:val="0"/>
          <w:marTop w:val="0"/>
          <w:marBottom w:val="0"/>
          <w:divBdr>
            <w:top w:val="none" w:sz="0" w:space="0" w:color="auto"/>
            <w:left w:val="none" w:sz="0" w:space="0" w:color="auto"/>
            <w:bottom w:val="none" w:sz="0" w:space="0" w:color="auto"/>
            <w:right w:val="none" w:sz="0" w:space="0" w:color="auto"/>
          </w:divBdr>
        </w:div>
        <w:div w:id="32851909">
          <w:marLeft w:val="0"/>
          <w:marRight w:val="0"/>
          <w:marTop w:val="0"/>
          <w:marBottom w:val="0"/>
          <w:divBdr>
            <w:top w:val="none" w:sz="0" w:space="0" w:color="auto"/>
            <w:left w:val="none" w:sz="0" w:space="0" w:color="auto"/>
            <w:bottom w:val="none" w:sz="0" w:space="0" w:color="auto"/>
            <w:right w:val="none" w:sz="0" w:space="0" w:color="auto"/>
          </w:divBdr>
        </w:div>
        <w:div w:id="46414295">
          <w:marLeft w:val="0"/>
          <w:marRight w:val="0"/>
          <w:marTop w:val="0"/>
          <w:marBottom w:val="0"/>
          <w:divBdr>
            <w:top w:val="none" w:sz="0" w:space="0" w:color="auto"/>
            <w:left w:val="none" w:sz="0" w:space="0" w:color="auto"/>
            <w:bottom w:val="none" w:sz="0" w:space="0" w:color="auto"/>
            <w:right w:val="none" w:sz="0" w:space="0" w:color="auto"/>
          </w:divBdr>
        </w:div>
        <w:div w:id="59793535">
          <w:marLeft w:val="0"/>
          <w:marRight w:val="0"/>
          <w:marTop w:val="0"/>
          <w:marBottom w:val="0"/>
          <w:divBdr>
            <w:top w:val="none" w:sz="0" w:space="0" w:color="auto"/>
            <w:left w:val="none" w:sz="0" w:space="0" w:color="auto"/>
            <w:bottom w:val="none" w:sz="0" w:space="0" w:color="auto"/>
            <w:right w:val="none" w:sz="0" w:space="0" w:color="auto"/>
          </w:divBdr>
        </w:div>
        <w:div w:id="101581200">
          <w:marLeft w:val="0"/>
          <w:marRight w:val="0"/>
          <w:marTop w:val="0"/>
          <w:marBottom w:val="0"/>
          <w:divBdr>
            <w:top w:val="none" w:sz="0" w:space="0" w:color="auto"/>
            <w:left w:val="none" w:sz="0" w:space="0" w:color="auto"/>
            <w:bottom w:val="none" w:sz="0" w:space="0" w:color="auto"/>
            <w:right w:val="none" w:sz="0" w:space="0" w:color="auto"/>
          </w:divBdr>
        </w:div>
        <w:div w:id="106897283">
          <w:marLeft w:val="0"/>
          <w:marRight w:val="0"/>
          <w:marTop w:val="0"/>
          <w:marBottom w:val="0"/>
          <w:divBdr>
            <w:top w:val="none" w:sz="0" w:space="0" w:color="auto"/>
            <w:left w:val="none" w:sz="0" w:space="0" w:color="auto"/>
            <w:bottom w:val="none" w:sz="0" w:space="0" w:color="auto"/>
            <w:right w:val="none" w:sz="0" w:space="0" w:color="auto"/>
          </w:divBdr>
        </w:div>
        <w:div w:id="113597013">
          <w:marLeft w:val="0"/>
          <w:marRight w:val="0"/>
          <w:marTop w:val="0"/>
          <w:marBottom w:val="0"/>
          <w:divBdr>
            <w:top w:val="none" w:sz="0" w:space="0" w:color="auto"/>
            <w:left w:val="none" w:sz="0" w:space="0" w:color="auto"/>
            <w:bottom w:val="none" w:sz="0" w:space="0" w:color="auto"/>
            <w:right w:val="none" w:sz="0" w:space="0" w:color="auto"/>
          </w:divBdr>
        </w:div>
        <w:div w:id="116145036">
          <w:marLeft w:val="0"/>
          <w:marRight w:val="0"/>
          <w:marTop w:val="0"/>
          <w:marBottom w:val="0"/>
          <w:divBdr>
            <w:top w:val="none" w:sz="0" w:space="0" w:color="auto"/>
            <w:left w:val="none" w:sz="0" w:space="0" w:color="auto"/>
            <w:bottom w:val="none" w:sz="0" w:space="0" w:color="auto"/>
            <w:right w:val="none" w:sz="0" w:space="0" w:color="auto"/>
          </w:divBdr>
        </w:div>
        <w:div w:id="128939292">
          <w:marLeft w:val="0"/>
          <w:marRight w:val="0"/>
          <w:marTop w:val="0"/>
          <w:marBottom w:val="0"/>
          <w:divBdr>
            <w:top w:val="none" w:sz="0" w:space="0" w:color="auto"/>
            <w:left w:val="none" w:sz="0" w:space="0" w:color="auto"/>
            <w:bottom w:val="none" w:sz="0" w:space="0" w:color="auto"/>
            <w:right w:val="none" w:sz="0" w:space="0" w:color="auto"/>
          </w:divBdr>
        </w:div>
        <w:div w:id="132336030">
          <w:marLeft w:val="0"/>
          <w:marRight w:val="0"/>
          <w:marTop w:val="0"/>
          <w:marBottom w:val="0"/>
          <w:divBdr>
            <w:top w:val="none" w:sz="0" w:space="0" w:color="auto"/>
            <w:left w:val="none" w:sz="0" w:space="0" w:color="auto"/>
            <w:bottom w:val="none" w:sz="0" w:space="0" w:color="auto"/>
            <w:right w:val="none" w:sz="0" w:space="0" w:color="auto"/>
          </w:divBdr>
        </w:div>
        <w:div w:id="134294552">
          <w:marLeft w:val="0"/>
          <w:marRight w:val="0"/>
          <w:marTop w:val="0"/>
          <w:marBottom w:val="0"/>
          <w:divBdr>
            <w:top w:val="none" w:sz="0" w:space="0" w:color="auto"/>
            <w:left w:val="none" w:sz="0" w:space="0" w:color="auto"/>
            <w:bottom w:val="none" w:sz="0" w:space="0" w:color="auto"/>
            <w:right w:val="none" w:sz="0" w:space="0" w:color="auto"/>
          </w:divBdr>
        </w:div>
        <w:div w:id="134445210">
          <w:marLeft w:val="0"/>
          <w:marRight w:val="0"/>
          <w:marTop w:val="0"/>
          <w:marBottom w:val="0"/>
          <w:divBdr>
            <w:top w:val="none" w:sz="0" w:space="0" w:color="auto"/>
            <w:left w:val="none" w:sz="0" w:space="0" w:color="auto"/>
            <w:bottom w:val="none" w:sz="0" w:space="0" w:color="auto"/>
            <w:right w:val="none" w:sz="0" w:space="0" w:color="auto"/>
          </w:divBdr>
        </w:div>
        <w:div w:id="149952880">
          <w:marLeft w:val="0"/>
          <w:marRight w:val="0"/>
          <w:marTop w:val="0"/>
          <w:marBottom w:val="0"/>
          <w:divBdr>
            <w:top w:val="none" w:sz="0" w:space="0" w:color="auto"/>
            <w:left w:val="none" w:sz="0" w:space="0" w:color="auto"/>
            <w:bottom w:val="none" w:sz="0" w:space="0" w:color="auto"/>
            <w:right w:val="none" w:sz="0" w:space="0" w:color="auto"/>
          </w:divBdr>
        </w:div>
        <w:div w:id="152306263">
          <w:marLeft w:val="0"/>
          <w:marRight w:val="0"/>
          <w:marTop w:val="0"/>
          <w:marBottom w:val="0"/>
          <w:divBdr>
            <w:top w:val="none" w:sz="0" w:space="0" w:color="auto"/>
            <w:left w:val="none" w:sz="0" w:space="0" w:color="auto"/>
            <w:bottom w:val="none" w:sz="0" w:space="0" w:color="auto"/>
            <w:right w:val="none" w:sz="0" w:space="0" w:color="auto"/>
          </w:divBdr>
          <w:divsChild>
            <w:div w:id="447043551">
              <w:marLeft w:val="0"/>
              <w:marRight w:val="0"/>
              <w:marTop w:val="0"/>
              <w:marBottom w:val="0"/>
              <w:divBdr>
                <w:top w:val="none" w:sz="0" w:space="0" w:color="auto"/>
                <w:left w:val="none" w:sz="0" w:space="0" w:color="auto"/>
                <w:bottom w:val="none" w:sz="0" w:space="0" w:color="auto"/>
                <w:right w:val="none" w:sz="0" w:space="0" w:color="auto"/>
              </w:divBdr>
            </w:div>
            <w:div w:id="473252856">
              <w:marLeft w:val="0"/>
              <w:marRight w:val="0"/>
              <w:marTop w:val="0"/>
              <w:marBottom w:val="0"/>
              <w:divBdr>
                <w:top w:val="none" w:sz="0" w:space="0" w:color="auto"/>
                <w:left w:val="none" w:sz="0" w:space="0" w:color="auto"/>
                <w:bottom w:val="none" w:sz="0" w:space="0" w:color="auto"/>
                <w:right w:val="none" w:sz="0" w:space="0" w:color="auto"/>
              </w:divBdr>
            </w:div>
            <w:div w:id="570967653">
              <w:marLeft w:val="0"/>
              <w:marRight w:val="0"/>
              <w:marTop w:val="0"/>
              <w:marBottom w:val="0"/>
              <w:divBdr>
                <w:top w:val="none" w:sz="0" w:space="0" w:color="auto"/>
                <w:left w:val="none" w:sz="0" w:space="0" w:color="auto"/>
                <w:bottom w:val="none" w:sz="0" w:space="0" w:color="auto"/>
                <w:right w:val="none" w:sz="0" w:space="0" w:color="auto"/>
              </w:divBdr>
            </w:div>
            <w:div w:id="779952368">
              <w:marLeft w:val="0"/>
              <w:marRight w:val="0"/>
              <w:marTop w:val="0"/>
              <w:marBottom w:val="0"/>
              <w:divBdr>
                <w:top w:val="none" w:sz="0" w:space="0" w:color="auto"/>
                <w:left w:val="none" w:sz="0" w:space="0" w:color="auto"/>
                <w:bottom w:val="none" w:sz="0" w:space="0" w:color="auto"/>
                <w:right w:val="none" w:sz="0" w:space="0" w:color="auto"/>
              </w:divBdr>
            </w:div>
            <w:div w:id="805467725">
              <w:marLeft w:val="0"/>
              <w:marRight w:val="0"/>
              <w:marTop w:val="0"/>
              <w:marBottom w:val="0"/>
              <w:divBdr>
                <w:top w:val="none" w:sz="0" w:space="0" w:color="auto"/>
                <w:left w:val="none" w:sz="0" w:space="0" w:color="auto"/>
                <w:bottom w:val="none" w:sz="0" w:space="0" w:color="auto"/>
                <w:right w:val="none" w:sz="0" w:space="0" w:color="auto"/>
              </w:divBdr>
            </w:div>
          </w:divsChild>
        </w:div>
        <w:div w:id="166218198">
          <w:marLeft w:val="0"/>
          <w:marRight w:val="0"/>
          <w:marTop w:val="0"/>
          <w:marBottom w:val="0"/>
          <w:divBdr>
            <w:top w:val="none" w:sz="0" w:space="0" w:color="auto"/>
            <w:left w:val="none" w:sz="0" w:space="0" w:color="auto"/>
            <w:bottom w:val="none" w:sz="0" w:space="0" w:color="auto"/>
            <w:right w:val="none" w:sz="0" w:space="0" w:color="auto"/>
          </w:divBdr>
        </w:div>
        <w:div w:id="184371791">
          <w:marLeft w:val="0"/>
          <w:marRight w:val="0"/>
          <w:marTop w:val="0"/>
          <w:marBottom w:val="0"/>
          <w:divBdr>
            <w:top w:val="none" w:sz="0" w:space="0" w:color="auto"/>
            <w:left w:val="none" w:sz="0" w:space="0" w:color="auto"/>
            <w:bottom w:val="none" w:sz="0" w:space="0" w:color="auto"/>
            <w:right w:val="none" w:sz="0" w:space="0" w:color="auto"/>
          </w:divBdr>
        </w:div>
        <w:div w:id="187644604">
          <w:marLeft w:val="0"/>
          <w:marRight w:val="0"/>
          <w:marTop w:val="0"/>
          <w:marBottom w:val="0"/>
          <w:divBdr>
            <w:top w:val="none" w:sz="0" w:space="0" w:color="auto"/>
            <w:left w:val="none" w:sz="0" w:space="0" w:color="auto"/>
            <w:bottom w:val="none" w:sz="0" w:space="0" w:color="auto"/>
            <w:right w:val="none" w:sz="0" w:space="0" w:color="auto"/>
          </w:divBdr>
        </w:div>
        <w:div w:id="209415076">
          <w:marLeft w:val="0"/>
          <w:marRight w:val="0"/>
          <w:marTop w:val="0"/>
          <w:marBottom w:val="0"/>
          <w:divBdr>
            <w:top w:val="none" w:sz="0" w:space="0" w:color="auto"/>
            <w:left w:val="none" w:sz="0" w:space="0" w:color="auto"/>
            <w:bottom w:val="none" w:sz="0" w:space="0" w:color="auto"/>
            <w:right w:val="none" w:sz="0" w:space="0" w:color="auto"/>
          </w:divBdr>
        </w:div>
        <w:div w:id="216358064">
          <w:marLeft w:val="0"/>
          <w:marRight w:val="0"/>
          <w:marTop w:val="0"/>
          <w:marBottom w:val="0"/>
          <w:divBdr>
            <w:top w:val="none" w:sz="0" w:space="0" w:color="auto"/>
            <w:left w:val="none" w:sz="0" w:space="0" w:color="auto"/>
            <w:bottom w:val="none" w:sz="0" w:space="0" w:color="auto"/>
            <w:right w:val="none" w:sz="0" w:space="0" w:color="auto"/>
          </w:divBdr>
        </w:div>
        <w:div w:id="217521982">
          <w:marLeft w:val="0"/>
          <w:marRight w:val="0"/>
          <w:marTop w:val="0"/>
          <w:marBottom w:val="0"/>
          <w:divBdr>
            <w:top w:val="none" w:sz="0" w:space="0" w:color="auto"/>
            <w:left w:val="none" w:sz="0" w:space="0" w:color="auto"/>
            <w:bottom w:val="none" w:sz="0" w:space="0" w:color="auto"/>
            <w:right w:val="none" w:sz="0" w:space="0" w:color="auto"/>
          </w:divBdr>
        </w:div>
        <w:div w:id="228074524">
          <w:marLeft w:val="0"/>
          <w:marRight w:val="0"/>
          <w:marTop w:val="0"/>
          <w:marBottom w:val="0"/>
          <w:divBdr>
            <w:top w:val="none" w:sz="0" w:space="0" w:color="auto"/>
            <w:left w:val="none" w:sz="0" w:space="0" w:color="auto"/>
            <w:bottom w:val="none" w:sz="0" w:space="0" w:color="auto"/>
            <w:right w:val="none" w:sz="0" w:space="0" w:color="auto"/>
          </w:divBdr>
        </w:div>
        <w:div w:id="228544893">
          <w:marLeft w:val="0"/>
          <w:marRight w:val="0"/>
          <w:marTop w:val="0"/>
          <w:marBottom w:val="0"/>
          <w:divBdr>
            <w:top w:val="none" w:sz="0" w:space="0" w:color="auto"/>
            <w:left w:val="none" w:sz="0" w:space="0" w:color="auto"/>
            <w:bottom w:val="none" w:sz="0" w:space="0" w:color="auto"/>
            <w:right w:val="none" w:sz="0" w:space="0" w:color="auto"/>
          </w:divBdr>
        </w:div>
        <w:div w:id="235241431">
          <w:marLeft w:val="0"/>
          <w:marRight w:val="0"/>
          <w:marTop w:val="0"/>
          <w:marBottom w:val="0"/>
          <w:divBdr>
            <w:top w:val="none" w:sz="0" w:space="0" w:color="auto"/>
            <w:left w:val="none" w:sz="0" w:space="0" w:color="auto"/>
            <w:bottom w:val="none" w:sz="0" w:space="0" w:color="auto"/>
            <w:right w:val="none" w:sz="0" w:space="0" w:color="auto"/>
          </w:divBdr>
        </w:div>
        <w:div w:id="249579727">
          <w:marLeft w:val="0"/>
          <w:marRight w:val="0"/>
          <w:marTop w:val="0"/>
          <w:marBottom w:val="0"/>
          <w:divBdr>
            <w:top w:val="none" w:sz="0" w:space="0" w:color="auto"/>
            <w:left w:val="none" w:sz="0" w:space="0" w:color="auto"/>
            <w:bottom w:val="none" w:sz="0" w:space="0" w:color="auto"/>
            <w:right w:val="none" w:sz="0" w:space="0" w:color="auto"/>
          </w:divBdr>
        </w:div>
        <w:div w:id="272830145">
          <w:marLeft w:val="0"/>
          <w:marRight w:val="0"/>
          <w:marTop w:val="0"/>
          <w:marBottom w:val="0"/>
          <w:divBdr>
            <w:top w:val="none" w:sz="0" w:space="0" w:color="auto"/>
            <w:left w:val="none" w:sz="0" w:space="0" w:color="auto"/>
            <w:bottom w:val="none" w:sz="0" w:space="0" w:color="auto"/>
            <w:right w:val="none" w:sz="0" w:space="0" w:color="auto"/>
          </w:divBdr>
          <w:divsChild>
            <w:div w:id="705523513">
              <w:marLeft w:val="0"/>
              <w:marRight w:val="0"/>
              <w:marTop w:val="0"/>
              <w:marBottom w:val="0"/>
              <w:divBdr>
                <w:top w:val="none" w:sz="0" w:space="0" w:color="auto"/>
                <w:left w:val="none" w:sz="0" w:space="0" w:color="auto"/>
                <w:bottom w:val="none" w:sz="0" w:space="0" w:color="auto"/>
                <w:right w:val="none" w:sz="0" w:space="0" w:color="auto"/>
              </w:divBdr>
            </w:div>
            <w:div w:id="785075622">
              <w:marLeft w:val="0"/>
              <w:marRight w:val="0"/>
              <w:marTop w:val="0"/>
              <w:marBottom w:val="0"/>
              <w:divBdr>
                <w:top w:val="none" w:sz="0" w:space="0" w:color="auto"/>
                <w:left w:val="none" w:sz="0" w:space="0" w:color="auto"/>
                <w:bottom w:val="none" w:sz="0" w:space="0" w:color="auto"/>
                <w:right w:val="none" w:sz="0" w:space="0" w:color="auto"/>
              </w:divBdr>
            </w:div>
            <w:div w:id="1589270856">
              <w:marLeft w:val="0"/>
              <w:marRight w:val="0"/>
              <w:marTop w:val="0"/>
              <w:marBottom w:val="0"/>
              <w:divBdr>
                <w:top w:val="none" w:sz="0" w:space="0" w:color="auto"/>
                <w:left w:val="none" w:sz="0" w:space="0" w:color="auto"/>
                <w:bottom w:val="none" w:sz="0" w:space="0" w:color="auto"/>
                <w:right w:val="none" w:sz="0" w:space="0" w:color="auto"/>
              </w:divBdr>
            </w:div>
            <w:div w:id="2076464126">
              <w:marLeft w:val="0"/>
              <w:marRight w:val="0"/>
              <w:marTop w:val="0"/>
              <w:marBottom w:val="0"/>
              <w:divBdr>
                <w:top w:val="none" w:sz="0" w:space="0" w:color="auto"/>
                <w:left w:val="none" w:sz="0" w:space="0" w:color="auto"/>
                <w:bottom w:val="none" w:sz="0" w:space="0" w:color="auto"/>
                <w:right w:val="none" w:sz="0" w:space="0" w:color="auto"/>
              </w:divBdr>
            </w:div>
            <w:div w:id="2089115461">
              <w:marLeft w:val="0"/>
              <w:marRight w:val="0"/>
              <w:marTop w:val="0"/>
              <w:marBottom w:val="0"/>
              <w:divBdr>
                <w:top w:val="none" w:sz="0" w:space="0" w:color="auto"/>
                <w:left w:val="none" w:sz="0" w:space="0" w:color="auto"/>
                <w:bottom w:val="none" w:sz="0" w:space="0" w:color="auto"/>
                <w:right w:val="none" w:sz="0" w:space="0" w:color="auto"/>
              </w:divBdr>
            </w:div>
          </w:divsChild>
        </w:div>
        <w:div w:id="285626284">
          <w:marLeft w:val="0"/>
          <w:marRight w:val="0"/>
          <w:marTop w:val="0"/>
          <w:marBottom w:val="0"/>
          <w:divBdr>
            <w:top w:val="none" w:sz="0" w:space="0" w:color="auto"/>
            <w:left w:val="none" w:sz="0" w:space="0" w:color="auto"/>
            <w:bottom w:val="none" w:sz="0" w:space="0" w:color="auto"/>
            <w:right w:val="none" w:sz="0" w:space="0" w:color="auto"/>
          </w:divBdr>
          <w:divsChild>
            <w:div w:id="278921427">
              <w:marLeft w:val="0"/>
              <w:marRight w:val="0"/>
              <w:marTop w:val="0"/>
              <w:marBottom w:val="0"/>
              <w:divBdr>
                <w:top w:val="none" w:sz="0" w:space="0" w:color="auto"/>
                <w:left w:val="none" w:sz="0" w:space="0" w:color="auto"/>
                <w:bottom w:val="none" w:sz="0" w:space="0" w:color="auto"/>
                <w:right w:val="none" w:sz="0" w:space="0" w:color="auto"/>
              </w:divBdr>
            </w:div>
            <w:div w:id="299307206">
              <w:marLeft w:val="0"/>
              <w:marRight w:val="0"/>
              <w:marTop w:val="0"/>
              <w:marBottom w:val="0"/>
              <w:divBdr>
                <w:top w:val="none" w:sz="0" w:space="0" w:color="auto"/>
                <w:left w:val="none" w:sz="0" w:space="0" w:color="auto"/>
                <w:bottom w:val="none" w:sz="0" w:space="0" w:color="auto"/>
                <w:right w:val="none" w:sz="0" w:space="0" w:color="auto"/>
              </w:divBdr>
            </w:div>
            <w:div w:id="549147730">
              <w:marLeft w:val="0"/>
              <w:marRight w:val="0"/>
              <w:marTop w:val="0"/>
              <w:marBottom w:val="0"/>
              <w:divBdr>
                <w:top w:val="none" w:sz="0" w:space="0" w:color="auto"/>
                <w:left w:val="none" w:sz="0" w:space="0" w:color="auto"/>
                <w:bottom w:val="none" w:sz="0" w:space="0" w:color="auto"/>
                <w:right w:val="none" w:sz="0" w:space="0" w:color="auto"/>
              </w:divBdr>
            </w:div>
            <w:div w:id="868680719">
              <w:marLeft w:val="0"/>
              <w:marRight w:val="0"/>
              <w:marTop w:val="0"/>
              <w:marBottom w:val="0"/>
              <w:divBdr>
                <w:top w:val="none" w:sz="0" w:space="0" w:color="auto"/>
                <w:left w:val="none" w:sz="0" w:space="0" w:color="auto"/>
                <w:bottom w:val="none" w:sz="0" w:space="0" w:color="auto"/>
                <w:right w:val="none" w:sz="0" w:space="0" w:color="auto"/>
              </w:divBdr>
            </w:div>
            <w:div w:id="1899902957">
              <w:marLeft w:val="0"/>
              <w:marRight w:val="0"/>
              <w:marTop w:val="0"/>
              <w:marBottom w:val="0"/>
              <w:divBdr>
                <w:top w:val="none" w:sz="0" w:space="0" w:color="auto"/>
                <w:left w:val="none" w:sz="0" w:space="0" w:color="auto"/>
                <w:bottom w:val="none" w:sz="0" w:space="0" w:color="auto"/>
                <w:right w:val="none" w:sz="0" w:space="0" w:color="auto"/>
              </w:divBdr>
            </w:div>
          </w:divsChild>
        </w:div>
        <w:div w:id="291833657">
          <w:marLeft w:val="0"/>
          <w:marRight w:val="0"/>
          <w:marTop w:val="0"/>
          <w:marBottom w:val="0"/>
          <w:divBdr>
            <w:top w:val="none" w:sz="0" w:space="0" w:color="auto"/>
            <w:left w:val="none" w:sz="0" w:space="0" w:color="auto"/>
            <w:bottom w:val="none" w:sz="0" w:space="0" w:color="auto"/>
            <w:right w:val="none" w:sz="0" w:space="0" w:color="auto"/>
          </w:divBdr>
        </w:div>
        <w:div w:id="307176638">
          <w:marLeft w:val="0"/>
          <w:marRight w:val="0"/>
          <w:marTop w:val="0"/>
          <w:marBottom w:val="0"/>
          <w:divBdr>
            <w:top w:val="none" w:sz="0" w:space="0" w:color="auto"/>
            <w:left w:val="none" w:sz="0" w:space="0" w:color="auto"/>
            <w:bottom w:val="none" w:sz="0" w:space="0" w:color="auto"/>
            <w:right w:val="none" w:sz="0" w:space="0" w:color="auto"/>
          </w:divBdr>
          <w:divsChild>
            <w:div w:id="127549400">
              <w:marLeft w:val="0"/>
              <w:marRight w:val="0"/>
              <w:marTop w:val="0"/>
              <w:marBottom w:val="0"/>
              <w:divBdr>
                <w:top w:val="none" w:sz="0" w:space="0" w:color="auto"/>
                <w:left w:val="none" w:sz="0" w:space="0" w:color="auto"/>
                <w:bottom w:val="none" w:sz="0" w:space="0" w:color="auto"/>
                <w:right w:val="none" w:sz="0" w:space="0" w:color="auto"/>
              </w:divBdr>
            </w:div>
            <w:div w:id="1032342523">
              <w:marLeft w:val="0"/>
              <w:marRight w:val="0"/>
              <w:marTop w:val="0"/>
              <w:marBottom w:val="0"/>
              <w:divBdr>
                <w:top w:val="none" w:sz="0" w:space="0" w:color="auto"/>
                <w:left w:val="none" w:sz="0" w:space="0" w:color="auto"/>
                <w:bottom w:val="none" w:sz="0" w:space="0" w:color="auto"/>
                <w:right w:val="none" w:sz="0" w:space="0" w:color="auto"/>
              </w:divBdr>
            </w:div>
            <w:div w:id="1042825509">
              <w:marLeft w:val="0"/>
              <w:marRight w:val="0"/>
              <w:marTop w:val="0"/>
              <w:marBottom w:val="0"/>
              <w:divBdr>
                <w:top w:val="none" w:sz="0" w:space="0" w:color="auto"/>
                <w:left w:val="none" w:sz="0" w:space="0" w:color="auto"/>
                <w:bottom w:val="none" w:sz="0" w:space="0" w:color="auto"/>
                <w:right w:val="none" w:sz="0" w:space="0" w:color="auto"/>
              </w:divBdr>
            </w:div>
            <w:div w:id="1134911675">
              <w:marLeft w:val="0"/>
              <w:marRight w:val="0"/>
              <w:marTop w:val="0"/>
              <w:marBottom w:val="0"/>
              <w:divBdr>
                <w:top w:val="none" w:sz="0" w:space="0" w:color="auto"/>
                <w:left w:val="none" w:sz="0" w:space="0" w:color="auto"/>
                <w:bottom w:val="none" w:sz="0" w:space="0" w:color="auto"/>
                <w:right w:val="none" w:sz="0" w:space="0" w:color="auto"/>
              </w:divBdr>
            </w:div>
            <w:div w:id="1838567757">
              <w:marLeft w:val="0"/>
              <w:marRight w:val="0"/>
              <w:marTop w:val="0"/>
              <w:marBottom w:val="0"/>
              <w:divBdr>
                <w:top w:val="none" w:sz="0" w:space="0" w:color="auto"/>
                <w:left w:val="none" w:sz="0" w:space="0" w:color="auto"/>
                <w:bottom w:val="none" w:sz="0" w:space="0" w:color="auto"/>
                <w:right w:val="none" w:sz="0" w:space="0" w:color="auto"/>
              </w:divBdr>
            </w:div>
          </w:divsChild>
        </w:div>
        <w:div w:id="307441545">
          <w:marLeft w:val="0"/>
          <w:marRight w:val="0"/>
          <w:marTop w:val="0"/>
          <w:marBottom w:val="0"/>
          <w:divBdr>
            <w:top w:val="none" w:sz="0" w:space="0" w:color="auto"/>
            <w:left w:val="none" w:sz="0" w:space="0" w:color="auto"/>
            <w:bottom w:val="none" w:sz="0" w:space="0" w:color="auto"/>
            <w:right w:val="none" w:sz="0" w:space="0" w:color="auto"/>
          </w:divBdr>
        </w:div>
        <w:div w:id="309212081">
          <w:marLeft w:val="0"/>
          <w:marRight w:val="0"/>
          <w:marTop w:val="0"/>
          <w:marBottom w:val="0"/>
          <w:divBdr>
            <w:top w:val="none" w:sz="0" w:space="0" w:color="auto"/>
            <w:left w:val="none" w:sz="0" w:space="0" w:color="auto"/>
            <w:bottom w:val="none" w:sz="0" w:space="0" w:color="auto"/>
            <w:right w:val="none" w:sz="0" w:space="0" w:color="auto"/>
          </w:divBdr>
          <w:divsChild>
            <w:div w:id="564611115">
              <w:marLeft w:val="0"/>
              <w:marRight w:val="0"/>
              <w:marTop w:val="0"/>
              <w:marBottom w:val="0"/>
              <w:divBdr>
                <w:top w:val="none" w:sz="0" w:space="0" w:color="auto"/>
                <w:left w:val="none" w:sz="0" w:space="0" w:color="auto"/>
                <w:bottom w:val="none" w:sz="0" w:space="0" w:color="auto"/>
                <w:right w:val="none" w:sz="0" w:space="0" w:color="auto"/>
              </w:divBdr>
            </w:div>
            <w:div w:id="709959970">
              <w:marLeft w:val="0"/>
              <w:marRight w:val="0"/>
              <w:marTop w:val="0"/>
              <w:marBottom w:val="0"/>
              <w:divBdr>
                <w:top w:val="none" w:sz="0" w:space="0" w:color="auto"/>
                <w:left w:val="none" w:sz="0" w:space="0" w:color="auto"/>
                <w:bottom w:val="none" w:sz="0" w:space="0" w:color="auto"/>
                <w:right w:val="none" w:sz="0" w:space="0" w:color="auto"/>
              </w:divBdr>
            </w:div>
            <w:div w:id="850266528">
              <w:marLeft w:val="0"/>
              <w:marRight w:val="0"/>
              <w:marTop w:val="0"/>
              <w:marBottom w:val="0"/>
              <w:divBdr>
                <w:top w:val="none" w:sz="0" w:space="0" w:color="auto"/>
                <w:left w:val="none" w:sz="0" w:space="0" w:color="auto"/>
                <w:bottom w:val="none" w:sz="0" w:space="0" w:color="auto"/>
                <w:right w:val="none" w:sz="0" w:space="0" w:color="auto"/>
              </w:divBdr>
            </w:div>
            <w:div w:id="1112943506">
              <w:marLeft w:val="0"/>
              <w:marRight w:val="0"/>
              <w:marTop w:val="0"/>
              <w:marBottom w:val="0"/>
              <w:divBdr>
                <w:top w:val="none" w:sz="0" w:space="0" w:color="auto"/>
                <w:left w:val="none" w:sz="0" w:space="0" w:color="auto"/>
                <w:bottom w:val="none" w:sz="0" w:space="0" w:color="auto"/>
                <w:right w:val="none" w:sz="0" w:space="0" w:color="auto"/>
              </w:divBdr>
            </w:div>
            <w:div w:id="1171331785">
              <w:marLeft w:val="0"/>
              <w:marRight w:val="0"/>
              <w:marTop w:val="0"/>
              <w:marBottom w:val="0"/>
              <w:divBdr>
                <w:top w:val="none" w:sz="0" w:space="0" w:color="auto"/>
                <w:left w:val="none" w:sz="0" w:space="0" w:color="auto"/>
                <w:bottom w:val="none" w:sz="0" w:space="0" w:color="auto"/>
                <w:right w:val="none" w:sz="0" w:space="0" w:color="auto"/>
              </w:divBdr>
            </w:div>
          </w:divsChild>
        </w:div>
        <w:div w:id="323902055">
          <w:marLeft w:val="0"/>
          <w:marRight w:val="0"/>
          <w:marTop w:val="0"/>
          <w:marBottom w:val="0"/>
          <w:divBdr>
            <w:top w:val="none" w:sz="0" w:space="0" w:color="auto"/>
            <w:left w:val="none" w:sz="0" w:space="0" w:color="auto"/>
            <w:bottom w:val="none" w:sz="0" w:space="0" w:color="auto"/>
            <w:right w:val="none" w:sz="0" w:space="0" w:color="auto"/>
          </w:divBdr>
        </w:div>
        <w:div w:id="350033908">
          <w:marLeft w:val="0"/>
          <w:marRight w:val="0"/>
          <w:marTop w:val="0"/>
          <w:marBottom w:val="0"/>
          <w:divBdr>
            <w:top w:val="none" w:sz="0" w:space="0" w:color="auto"/>
            <w:left w:val="none" w:sz="0" w:space="0" w:color="auto"/>
            <w:bottom w:val="none" w:sz="0" w:space="0" w:color="auto"/>
            <w:right w:val="none" w:sz="0" w:space="0" w:color="auto"/>
          </w:divBdr>
        </w:div>
        <w:div w:id="357049825">
          <w:marLeft w:val="0"/>
          <w:marRight w:val="0"/>
          <w:marTop w:val="0"/>
          <w:marBottom w:val="0"/>
          <w:divBdr>
            <w:top w:val="none" w:sz="0" w:space="0" w:color="auto"/>
            <w:left w:val="none" w:sz="0" w:space="0" w:color="auto"/>
            <w:bottom w:val="none" w:sz="0" w:space="0" w:color="auto"/>
            <w:right w:val="none" w:sz="0" w:space="0" w:color="auto"/>
          </w:divBdr>
        </w:div>
        <w:div w:id="364141497">
          <w:marLeft w:val="0"/>
          <w:marRight w:val="0"/>
          <w:marTop w:val="0"/>
          <w:marBottom w:val="0"/>
          <w:divBdr>
            <w:top w:val="none" w:sz="0" w:space="0" w:color="auto"/>
            <w:left w:val="none" w:sz="0" w:space="0" w:color="auto"/>
            <w:bottom w:val="none" w:sz="0" w:space="0" w:color="auto"/>
            <w:right w:val="none" w:sz="0" w:space="0" w:color="auto"/>
          </w:divBdr>
        </w:div>
        <w:div w:id="365713750">
          <w:marLeft w:val="0"/>
          <w:marRight w:val="0"/>
          <w:marTop w:val="0"/>
          <w:marBottom w:val="0"/>
          <w:divBdr>
            <w:top w:val="none" w:sz="0" w:space="0" w:color="auto"/>
            <w:left w:val="none" w:sz="0" w:space="0" w:color="auto"/>
            <w:bottom w:val="none" w:sz="0" w:space="0" w:color="auto"/>
            <w:right w:val="none" w:sz="0" w:space="0" w:color="auto"/>
          </w:divBdr>
          <w:divsChild>
            <w:div w:id="160778811">
              <w:marLeft w:val="0"/>
              <w:marRight w:val="0"/>
              <w:marTop w:val="0"/>
              <w:marBottom w:val="0"/>
              <w:divBdr>
                <w:top w:val="none" w:sz="0" w:space="0" w:color="auto"/>
                <w:left w:val="none" w:sz="0" w:space="0" w:color="auto"/>
                <w:bottom w:val="none" w:sz="0" w:space="0" w:color="auto"/>
                <w:right w:val="none" w:sz="0" w:space="0" w:color="auto"/>
              </w:divBdr>
            </w:div>
            <w:div w:id="1016661319">
              <w:marLeft w:val="0"/>
              <w:marRight w:val="0"/>
              <w:marTop w:val="0"/>
              <w:marBottom w:val="0"/>
              <w:divBdr>
                <w:top w:val="none" w:sz="0" w:space="0" w:color="auto"/>
                <w:left w:val="none" w:sz="0" w:space="0" w:color="auto"/>
                <w:bottom w:val="none" w:sz="0" w:space="0" w:color="auto"/>
                <w:right w:val="none" w:sz="0" w:space="0" w:color="auto"/>
              </w:divBdr>
            </w:div>
            <w:div w:id="1675456871">
              <w:marLeft w:val="0"/>
              <w:marRight w:val="0"/>
              <w:marTop w:val="0"/>
              <w:marBottom w:val="0"/>
              <w:divBdr>
                <w:top w:val="none" w:sz="0" w:space="0" w:color="auto"/>
                <w:left w:val="none" w:sz="0" w:space="0" w:color="auto"/>
                <w:bottom w:val="none" w:sz="0" w:space="0" w:color="auto"/>
                <w:right w:val="none" w:sz="0" w:space="0" w:color="auto"/>
              </w:divBdr>
            </w:div>
            <w:div w:id="1749577603">
              <w:marLeft w:val="0"/>
              <w:marRight w:val="0"/>
              <w:marTop w:val="0"/>
              <w:marBottom w:val="0"/>
              <w:divBdr>
                <w:top w:val="none" w:sz="0" w:space="0" w:color="auto"/>
                <w:left w:val="none" w:sz="0" w:space="0" w:color="auto"/>
                <w:bottom w:val="none" w:sz="0" w:space="0" w:color="auto"/>
                <w:right w:val="none" w:sz="0" w:space="0" w:color="auto"/>
              </w:divBdr>
            </w:div>
            <w:div w:id="1924148653">
              <w:marLeft w:val="0"/>
              <w:marRight w:val="0"/>
              <w:marTop w:val="0"/>
              <w:marBottom w:val="0"/>
              <w:divBdr>
                <w:top w:val="none" w:sz="0" w:space="0" w:color="auto"/>
                <w:left w:val="none" w:sz="0" w:space="0" w:color="auto"/>
                <w:bottom w:val="none" w:sz="0" w:space="0" w:color="auto"/>
                <w:right w:val="none" w:sz="0" w:space="0" w:color="auto"/>
              </w:divBdr>
            </w:div>
          </w:divsChild>
        </w:div>
        <w:div w:id="370615179">
          <w:marLeft w:val="0"/>
          <w:marRight w:val="0"/>
          <w:marTop w:val="0"/>
          <w:marBottom w:val="0"/>
          <w:divBdr>
            <w:top w:val="none" w:sz="0" w:space="0" w:color="auto"/>
            <w:left w:val="none" w:sz="0" w:space="0" w:color="auto"/>
            <w:bottom w:val="none" w:sz="0" w:space="0" w:color="auto"/>
            <w:right w:val="none" w:sz="0" w:space="0" w:color="auto"/>
          </w:divBdr>
        </w:div>
        <w:div w:id="376976907">
          <w:marLeft w:val="0"/>
          <w:marRight w:val="0"/>
          <w:marTop w:val="0"/>
          <w:marBottom w:val="0"/>
          <w:divBdr>
            <w:top w:val="none" w:sz="0" w:space="0" w:color="auto"/>
            <w:left w:val="none" w:sz="0" w:space="0" w:color="auto"/>
            <w:bottom w:val="none" w:sz="0" w:space="0" w:color="auto"/>
            <w:right w:val="none" w:sz="0" w:space="0" w:color="auto"/>
          </w:divBdr>
        </w:div>
        <w:div w:id="377901090">
          <w:marLeft w:val="0"/>
          <w:marRight w:val="0"/>
          <w:marTop w:val="0"/>
          <w:marBottom w:val="0"/>
          <w:divBdr>
            <w:top w:val="none" w:sz="0" w:space="0" w:color="auto"/>
            <w:left w:val="none" w:sz="0" w:space="0" w:color="auto"/>
            <w:bottom w:val="none" w:sz="0" w:space="0" w:color="auto"/>
            <w:right w:val="none" w:sz="0" w:space="0" w:color="auto"/>
          </w:divBdr>
        </w:div>
        <w:div w:id="383069660">
          <w:marLeft w:val="0"/>
          <w:marRight w:val="0"/>
          <w:marTop w:val="0"/>
          <w:marBottom w:val="0"/>
          <w:divBdr>
            <w:top w:val="none" w:sz="0" w:space="0" w:color="auto"/>
            <w:left w:val="none" w:sz="0" w:space="0" w:color="auto"/>
            <w:bottom w:val="none" w:sz="0" w:space="0" w:color="auto"/>
            <w:right w:val="none" w:sz="0" w:space="0" w:color="auto"/>
          </w:divBdr>
          <w:divsChild>
            <w:div w:id="287392712">
              <w:marLeft w:val="0"/>
              <w:marRight w:val="0"/>
              <w:marTop w:val="0"/>
              <w:marBottom w:val="0"/>
              <w:divBdr>
                <w:top w:val="none" w:sz="0" w:space="0" w:color="auto"/>
                <w:left w:val="none" w:sz="0" w:space="0" w:color="auto"/>
                <w:bottom w:val="none" w:sz="0" w:space="0" w:color="auto"/>
                <w:right w:val="none" w:sz="0" w:space="0" w:color="auto"/>
              </w:divBdr>
            </w:div>
            <w:div w:id="627316091">
              <w:marLeft w:val="0"/>
              <w:marRight w:val="0"/>
              <w:marTop w:val="0"/>
              <w:marBottom w:val="0"/>
              <w:divBdr>
                <w:top w:val="none" w:sz="0" w:space="0" w:color="auto"/>
                <w:left w:val="none" w:sz="0" w:space="0" w:color="auto"/>
                <w:bottom w:val="none" w:sz="0" w:space="0" w:color="auto"/>
                <w:right w:val="none" w:sz="0" w:space="0" w:color="auto"/>
              </w:divBdr>
            </w:div>
            <w:div w:id="761796707">
              <w:marLeft w:val="0"/>
              <w:marRight w:val="0"/>
              <w:marTop w:val="0"/>
              <w:marBottom w:val="0"/>
              <w:divBdr>
                <w:top w:val="none" w:sz="0" w:space="0" w:color="auto"/>
                <w:left w:val="none" w:sz="0" w:space="0" w:color="auto"/>
                <w:bottom w:val="none" w:sz="0" w:space="0" w:color="auto"/>
                <w:right w:val="none" w:sz="0" w:space="0" w:color="auto"/>
              </w:divBdr>
            </w:div>
            <w:div w:id="846672946">
              <w:marLeft w:val="0"/>
              <w:marRight w:val="0"/>
              <w:marTop w:val="0"/>
              <w:marBottom w:val="0"/>
              <w:divBdr>
                <w:top w:val="none" w:sz="0" w:space="0" w:color="auto"/>
                <w:left w:val="none" w:sz="0" w:space="0" w:color="auto"/>
                <w:bottom w:val="none" w:sz="0" w:space="0" w:color="auto"/>
                <w:right w:val="none" w:sz="0" w:space="0" w:color="auto"/>
              </w:divBdr>
            </w:div>
            <w:div w:id="2038506939">
              <w:marLeft w:val="0"/>
              <w:marRight w:val="0"/>
              <w:marTop w:val="0"/>
              <w:marBottom w:val="0"/>
              <w:divBdr>
                <w:top w:val="none" w:sz="0" w:space="0" w:color="auto"/>
                <w:left w:val="none" w:sz="0" w:space="0" w:color="auto"/>
                <w:bottom w:val="none" w:sz="0" w:space="0" w:color="auto"/>
                <w:right w:val="none" w:sz="0" w:space="0" w:color="auto"/>
              </w:divBdr>
            </w:div>
          </w:divsChild>
        </w:div>
        <w:div w:id="390885006">
          <w:marLeft w:val="0"/>
          <w:marRight w:val="0"/>
          <w:marTop w:val="0"/>
          <w:marBottom w:val="0"/>
          <w:divBdr>
            <w:top w:val="none" w:sz="0" w:space="0" w:color="auto"/>
            <w:left w:val="none" w:sz="0" w:space="0" w:color="auto"/>
            <w:bottom w:val="none" w:sz="0" w:space="0" w:color="auto"/>
            <w:right w:val="none" w:sz="0" w:space="0" w:color="auto"/>
          </w:divBdr>
        </w:div>
        <w:div w:id="397559966">
          <w:marLeft w:val="0"/>
          <w:marRight w:val="0"/>
          <w:marTop w:val="0"/>
          <w:marBottom w:val="0"/>
          <w:divBdr>
            <w:top w:val="none" w:sz="0" w:space="0" w:color="auto"/>
            <w:left w:val="none" w:sz="0" w:space="0" w:color="auto"/>
            <w:bottom w:val="none" w:sz="0" w:space="0" w:color="auto"/>
            <w:right w:val="none" w:sz="0" w:space="0" w:color="auto"/>
          </w:divBdr>
        </w:div>
        <w:div w:id="400560202">
          <w:marLeft w:val="0"/>
          <w:marRight w:val="0"/>
          <w:marTop w:val="0"/>
          <w:marBottom w:val="0"/>
          <w:divBdr>
            <w:top w:val="none" w:sz="0" w:space="0" w:color="auto"/>
            <w:left w:val="none" w:sz="0" w:space="0" w:color="auto"/>
            <w:bottom w:val="none" w:sz="0" w:space="0" w:color="auto"/>
            <w:right w:val="none" w:sz="0" w:space="0" w:color="auto"/>
          </w:divBdr>
        </w:div>
        <w:div w:id="403335163">
          <w:marLeft w:val="0"/>
          <w:marRight w:val="0"/>
          <w:marTop w:val="0"/>
          <w:marBottom w:val="0"/>
          <w:divBdr>
            <w:top w:val="none" w:sz="0" w:space="0" w:color="auto"/>
            <w:left w:val="none" w:sz="0" w:space="0" w:color="auto"/>
            <w:bottom w:val="none" w:sz="0" w:space="0" w:color="auto"/>
            <w:right w:val="none" w:sz="0" w:space="0" w:color="auto"/>
          </w:divBdr>
        </w:div>
        <w:div w:id="408384971">
          <w:marLeft w:val="0"/>
          <w:marRight w:val="0"/>
          <w:marTop w:val="0"/>
          <w:marBottom w:val="0"/>
          <w:divBdr>
            <w:top w:val="none" w:sz="0" w:space="0" w:color="auto"/>
            <w:left w:val="none" w:sz="0" w:space="0" w:color="auto"/>
            <w:bottom w:val="none" w:sz="0" w:space="0" w:color="auto"/>
            <w:right w:val="none" w:sz="0" w:space="0" w:color="auto"/>
          </w:divBdr>
        </w:div>
        <w:div w:id="417287592">
          <w:marLeft w:val="0"/>
          <w:marRight w:val="0"/>
          <w:marTop w:val="0"/>
          <w:marBottom w:val="0"/>
          <w:divBdr>
            <w:top w:val="none" w:sz="0" w:space="0" w:color="auto"/>
            <w:left w:val="none" w:sz="0" w:space="0" w:color="auto"/>
            <w:bottom w:val="none" w:sz="0" w:space="0" w:color="auto"/>
            <w:right w:val="none" w:sz="0" w:space="0" w:color="auto"/>
          </w:divBdr>
        </w:div>
        <w:div w:id="419912977">
          <w:marLeft w:val="0"/>
          <w:marRight w:val="0"/>
          <w:marTop w:val="0"/>
          <w:marBottom w:val="0"/>
          <w:divBdr>
            <w:top w:val="none" w:sz="0" w:space="0" w:color="auto"/>
            <w:left w:val="none" w:sz="0" w:space="0" w:color="auto"/>
            <w:bottom w:val="none" w:sz="0" w:space="0" w:color="auto"/>
            <w:right w:val="none" w:sz="0" w:space="0" w:color="auto"/>
          </w:divBdr>
        </w:div>
        <w:div w:id="425422894">
          <w:marLeft w:val="0"/>
          <w:marRight w:val="0"/>
          <w:marTop w:val="0"/>
          <w:marBottom w:val="0"/>
          <w:divBdr>
            <w:top w:val="none" w:sz="0" w:space="0" w:color="auto"/>
            <w:left w:val="none" w:sz="0" w:space="0" w:color="auto"/>
            <w:bottom w:val="none" w:sz="0" w:space="0" w:color="auto"/>
            <w:right w:val="none" w:sz="0" w:space="0" w:color="auto"/>
          </w:divBdr>
        </w:div>
        <w:div w:id="444425968">
          <w:marLeft w:val="0"/>
          <w:marRight w:val="0"/>
          <w:marTop w:val="0"/>
          <w:marBottom w:val="0"/>
          <w:divBdr>
            <w:top w:val="none" w:sz="0" w:space="0" w:color="auto"/>
            <w:left w:val="none" w:sz="0" w:space="0" w:color="auto"/>
            <w:bottom w:val="none" w:sz="0" w:space="0" w:color="auto"/>
            <w:right w:val="none" w:sz="0" w:space="0" w:color="auto"/>
          </w:divBdr>
        </w:div>
        <w:div w:id="445121947">
          <w:marLeft w:val="0"/>
          <w:marRight w:val="0"/>
          <w:marTop w:val="0"/>
          <w:marBottom w:val="0"/>
          <w:divBdr>
            <w:top w:val="none" w:sz="0" w:space="0" w:color="auto"/>
            <w:left w:val="none" w:sz="0" w:space="0" w:color="auto"/>
            <w:bottom w:val="none" w:sz="0" w:space="0" w:color="auto"/>
            <w:right w:val="none" w:sz="0" w:space="0" w:color="auto"/>
          </w:divBdr>
        </w:div>
        <w:div w:id="445656104">
          <w:marLeft w:val="0"/>
          <w:marRight w:val="0"/>
          <w:marTop w:val="0"/>
          <w:marBottom w:val="0"/>
          <w:divBdr>
            <w:top w:val="none" w:sz="0" w:space="0" w:color="auto"/>
            <w:left w:val="none" w:sz="0" w:space="0" w:color="auto"/>
            <w:bottom w:val="none" w:sz="0" w:space="0" w:color="auto"/>
            <w:right w:val="none" w:sz="0" w:space="0" w:color="auto"/>
          </w:divBdr>
        </w:div>
        <w:div w:id="449588766">
          <w:marLeft w:val="0"/>
          <w:marRight w:val="0"/>
          <w:marTop w:val="0"/>
          <w:marBottom w:val="0"/>
          <w:divBdr>
            <w:top w:val="none" w:sz="0" w:space="0" w:color="auto"/>
            <w:left w:val="none" w:sz="0" w:space="0" w:color="auto"/>
            <w:bottom w:val="none" w:sz="0" w:space="0" w:color="auto"/>
            <w:right w:val="none" w:sz="0" w:space="0" w:color="auto"/>
          </w:divBdr>
        </w:div>
        <w:div w:id="456988488">
          <w:marLeft w:val="0"/>
          <w:marRight w:val="0"/>
          <w:marTop w:val="0"/>
          <w:marBottom w:val="0"/>
          <w:divBdr>
            <w:top w:val="none" w:sz="0" w:space="0" w:color="auto"/>
            <w:left w:val="none" w:sz="0" w:space="0" w:color="auto"/>
            <w:bottom w:val="none" w:sz="0" w:space="0" w:color="auto"/>
            <w:right w:val="none" w:sz="0" w:space="0" w:color="auto"/>
          </w:divBdr>
        </w:div>
        <w:div w:id="503476251">
          <w:marLeft w:val="0"/>
          <w:marRight w:val="0"/>
          <w:marTop w:val="0"/>
          <w:marBottom w:val="0"/>
          <w:divBdr>
            <w:top w:val="none" w:sz="0" w:space="0" w:color="auto"/>
            <w:left w:val="none" w:sz="0" w:space="0" w:color="auto"/>
            <w:bottom w:val="none" w:sz="0" w:space="0" w:color="auto"/>
            <w:right w:val="none" w:sz="0" w:space="0" w:color="auto"/>
          </w:divBdr>
        </w:div>
        <w:div w:id="505748954">
          <w:marLeft w:val="0"/>
          <w:marRight w:val="0"/>
          <w:marTop w:val="0"/>
          <w:marBottom w:val="0"/>
          <w:divBdr>
            <w:top w:val="none" w:sz="0" w:space="0" w:color="auto"/>
            <w:left w:val="none" w:sz="0" w:space="0" w:color="auto"/>
            <w:bottom w:val="none" w:sz="0" w:space="0" w:color="auto"/>
            <w:right w:val="none" w:sz="0" w:space="0" w:color="auto"/>
          </w:divBdr>
        </w:div>
        <w:div w:id="518324371">
          <w:marLeft w:val="0"/>
          <w:marRight w:val="0"/>
          <w:marTop w:val="0"/>
          <w:marBottom w:val="0"/>
          <w:divBdr>
            <w:top w:val="none" w:sz="0" w:space="0" w:color="auto"/>
            <w:left w:val="none" w:sz="0" w:space="0" w:color="auto"/>
            <w:bottom w:val="none" w:sz="0" w:space="0" w:color="auto"/>
            <w:right w:val="none" w:sz="0" w:space="0" w:color="auto"/>
          </w:divBdr>
        </w:div>
        <w:div w:id="520361533">
          <w:marLeft w:val="0"/>
          <w:marRight w:val="0"/>
          <w:marTop w:val="0"/>
          <w:marBottom w:val="0"/>
          <w:divBdr>
            <w:top w:val="none" w:sz="0" w:space="0" w:color="auto"/>
            <w:left w:val="none" w:sz="0" w:space="0" w:color="auto"/>
            <w:bottom w:val="none" w:sz="0" w:space="0" w:color="auto"/>
            <w:right w:val="none" w:sz="0" w:space="0" w:color="auto"/>
          </w:divBdr>
        </w:div>
        <w:div w:id="524827517">
          <w:marLeft w:val="0"/>
          <w:marRight w:val="0"/>
          <w:marTop w:val="0"/>
          <w:marBottom w:val="0"/>
          <w:divBdr>
            <w:top w:val="none" w:sz="0" w:space="0" w:color="auto"/>
            <w:left w:val="none" w:sz="0" w:space="0" w:color="auto"/>
            <w:bottom w:val="none" w:sz="0" w:space="0" w:color="auto"/>
            <w:right w:val="none" w:sz="0" w:space="0" w:color="auto"/>
          </w:divBdr>
        </w:div>
        <w:div w:id="525873606">
          <w:marLeft w:val="0"/>
          <w:marRight w:val="0"/>
          <w:marTop w:val="0"/>
          <w:marBottom w:val="0"/>
          <w:divBdr>
            <w:top w:val="none" w:sz="0" w:space="0" w:color="auto"/>
            <w:left w:val="none" w:sz="0" w:space="0" w:color="auto"/>
            <w:bottom w:val="none" w:sz="0" w:space="0" w:color="auto"/>
            <w:right w:val="none" w:sz="0" w:space="0" w:color="auto"/>
          </w:divBdr>
          <w:divsChild>
            <w:div w:id="1166634688">
              <w:marLeft w:val="0"/>
              <w:marRight w:val="0"/>
              <w:marTop w:val="0"/>
              <w:marBottom w:val="0"/>
              <w:divBdr>
                <w:top w:val="none" w:sz="0" w:space="0" w:color="auto"/>
                <w:left w:val="none" w:sz="0" w:space="0" w:color="auto"/>
                <w:bottom w:val="none" w:sz="0" w:space="0" w:color="auto"/>
                <w:right w:val="none" w:sz="0" w:space="0" w:color="auto"/>
              </w:divBdr>
            </w:div>
            <w:div w:id="1427531742">
              <w:marLeft w:val="0"/>
              <w:marRight w:val="0"/>
              <w:marTop w:val="0"/>
              <w:marBottom w:val="0"/>
              <w:divBdr>
                <w:top w:val="none" w:sz="0" w:space="0" w:color="auto"/>
                <w:left w:val="none" w:sz="0" w:space="0" w:color="auto"/>
                <w:bottom w:val="none" w:sz="0" w:space="0" w:color="auto"/>
                <w:right w:val="none" w:sz="0" w:space="0" w:color="auto"/>
              </w:divBdr>
            </w:div>
            <w:div w:id="1602564600">
              <w:marLeft w:val="0"/>
              <w:marRight w:val="0"/>
              <w:marTop w:val="0"/>
              <w:marBottom w:val="0"/>
              <w:divBdr>
                <w:top w:val="none" w:sz="0" w:space="0" w:color="auto"/>
                <w:left w:val="none" w:sz="0" w:space="0" w:color="auto"/>
                <w:bottom w:val="none" w:sz="0" w:space="0" w:color="auto"/>
                <w:right w:val="none" w:sz="0" w:space="0" w:color="auto"/>
              </w:divBdr>
            </w:div>
            <w:div w:id="1672024218">
              <w:marLeft w:val="0"/>
              <w:marRight w:val="0"/>
              <w:marTop w:val="0"/>
              <w:marBottom w:val="0"/>
              <w:divBdr>
                <w:top w:val="none" w:sz="0" w:space="0" w:color="auto"/>
                <w:left w:val="none" w:sz="0" w:space="0" w:color="auto"/>
                <w:bottom w:val="none" w:sz="0" w:space="0" w:color="auto"/>
                <w:right w:val="none" w:sz="0" w:space="0" w:color="auto"/>
              </w:divBdr>
            </w:div>
            <w:div w:id="1687900126">
              <w:marLeft w:val="0"/>
              <w:marRight w:val="0"/>
              <w:marTop w:val="0"/>
              <w:marBottom w:val="0"/>
              <w:divBdr>
                <w:top w:val="none" w:sz="0" w:space="0" w:color="auto"/>
                <w:left w:val="none" w:sz="0" w:space="0" w:color="auto"/>
                <w:bottom w:val="none" w:sz="0" w:space="0" w:color="auto"/>
                <w:right w:val="none" w:sz="0" w:space="0" w:color="auto"/>
              </w:divBdr>
            </w:div>
          </w:divsChild>
        </w:div>
        <w:div w:id="548079074">
          <w:marLeft w:val="0"/>
          <w:marRight w:val="0"/>
          <w:marTop w:val="0"/>
          <w:marBottom w:val="0"/>
          <w:divBdr>
            <w:top w:val="none" w:sz="0" w:space="0" w:color="auto"/>
            <w:left w:val="none" w:sz="0" w:space="0" w:color="auto"/>
            <w:bottom w:val="none" w:sz="0" w:space="0" w:color="auto"/>
            <w:right w:val="none" w:sz="0" w:space="0" w:color="auto"/>
          </w:divBdr>
          <w:divsChild>
            <w:div w:id="809638225">
              <w:marLeft w:val="0"/>
              <w:marRight w:val="0"/>
              <w:marTop w:val="0"/>
              <w:marBottom w:val="0"/>
              <w:divBdr>
                <w:top w:val="none" w:sz="0" w:space="0" w:color="auto"/>
                <w:left w:val="none" w:sz="0" w:space="0" w:color="auto"/>
                <w:bottom w:val="none" w:sz="0" w:space="0" w:color="auto"/>
                <w:right w:val="none" w:sz="0" w:space="0" w:color="auto"/>
              </w:divBdr>
            </w:div>
            <w:div w:id="1148329222">
              <w:marLeft w:val="0"/>
              <w:marRight w:val="0"/>
              <w:marTop w:val="0"/>
              <w:marBottom w:val="0"/>
              <w:divBdr>
                <w:top w:val="none" w:sz="0" w:space="0" w:color="auto"/>
                <w:left w:val="none" w:sz="0" w:space="0" w:color="auto"/>
                <w:bottom w:val="none" w:sz="0" w:space="0" w:color="auto"/>
                <w:right w:val="none" w:sz="0" w:space="0" w:color="auto"/>
              </w:divBdr>
            </w:div>
            <w:div w:id="1281261401">
              <w:marLeft w:val="0"/>
              <w:marRight w:val="0"/>
              <w:marTop w:val="0"/>
              <w:marBottom w:val="0"/>
              <w:divBdr>
                <w:top w:val="none" w:sz="0" w:space="0" w:color="auto"/>
                <w:left w:val="none" w:sz="0" w:space="0" w:color="auto"/>
                <w:bottom w:val="none" w:sz="0" w:space="0" w:color="auto"/>
                <w:right w:val="none" w:sz="0" w:space="0" w:color="auto"/>
              </w:divBdr>
            </w:div>
            <w:div w:id="1389304352">
              <w:marLeft w:val="0"/>
              <w:marRight w:val="0"/>
              <w:marTop w:val="0"/>
              <w:marBottom w:val="0"/>
              <w:divBdr>
                <w:top w:val="none" w:sz="0" w:space="0" w:color="auto"/>
                <w:left w:val="none" w:sz="0" w:space="0" w:color="auto"/>
                <w:bottom w:val="none" w:sz="0" w:space="0" w:color="auto"/>
                <w:right w:val="none" w:sz="0" w:space="0" w:color="auto"/>
              </w:divBdr>
            </w:div>
            <w:div w:id="1915583814">
              <w:marLeft w:val="0"/>
              <w:marRight w:val="0"/>
              <w:marTop w:val="0"/>
              <w:marBottom w:val="0"/>
              <w:divBdr>
                <w:top w:val="none" w:sz="0" w:space="0" w:color="auto"/>
                <w:left w:val="none" w:sz="0" w:space="0" w:color="auto"/>
                <w:bottom w:val="none" w:sz="0" w:space="0" w:color="auto"/>
                <w:right w:val="none" w:sz="0" w:space="0" w:color="auto"/>
              </w:divBdr>
            </w:div>
          </w:divsChild>
        </w:div>
        <w:div w:id="557058886">
          <w:marLeft w:val="0"/>
          <w:marRight w:val="0"/>
          <w:marTop w:val="0"/>
          <w:marBottom w:val="0"/>
          <w:divBdr>
            <w:top w:val="none" w:sz="0" w:space="0" w:color="auto"/>
            <w:left w:val="none" w:sz="0" w:space="0" w:color="auto"/>
            <w:bottom w:val="none" w:sz="0" w:space="0" w:color="auto"/>
            <w:right w:val="none" w:sz="0" w:space="0" w:color="auto"/>
          </w:divBdr>
        </w:div>
        <w:div w:id="584730013">
          <w:marLeft w:val="0"/>
          <w:marRight w:val="0"/>
          <w:marTop w:val="0"/>
          <w:marBottom w:val="0"/>
          <w:divBdr>
            <w:top w:val="none" w:sz="0" w:space="0" w:color="auto"/>
            <w:left w:val="none" w:sz="0" w:space="0" w:color="auto"/>
            <w:bottom w:val="none" w:sz="0" w:space="0" w:color="auto"/>
            <w:right w:val="none" w:sz="0" w:space="0" w:color="auto"/>
          </w:divBdr>
        </w:div>
        <w:div w:id="613832558">
          <w:marLeft w:val="0"/>
          <w:marRight w:val="0"/>
          <w:marTop w:val="0"/>
          <w:marBottom w:val="0"/>
          <w:divBdr>
            <w:top w:val="none" w:sz="0" w:space="0" w:color="auto"/>
            <w:left w:val="none" w:sz="0" w:space="0" w:color="auto"/>
            <w:bottom w:val="none" w:sz="0" w:space="0" w:color="auto"/>
            <w:right w:val="none" w:sz="0" w:space="0" w:color="auto"/>
          </w:divBdr>
        </w:div>
        <w:div w:id="614411330">
          <w:marLeft w:val="0"/>
          <w:marRight w:val="0"/>
          <w:marTop w:val="0"/>
          <w:marBottom w:val="0"/>
          <w:divBdr>
            <w:top w:val="none" w:sz="0" w:space="0" w:color="auto"/>
            <w:left w:val="none" w:sz="0" w:space="0" w:color="auto"/>
            <w:bottom w:val="none" w:sz="0" w:space="0" w:color="auto"/>
            <w:right w:val="none" w:sz="0" w:space="0" w:color="auto"/>
          </w:divBdr>
        </w:div>
        <w:div w:id="622461977">
          <w:marLeft w:val="0"/>
          <w:marRight w:val="0"/>
          <w:marTop w:val="0"/>
          <w:marBottom w:val="0"/>
          <w:divBdr>
            <w:top w:val="none" w:sz="0" w:space="0" w:color="auto"/>
            <w:left w:val="none" w:sz="0" w:space="0" w:color="auto"/>
            <w:bottom w:val="none" w:sz="0" w:space="0" w:color="auto"/>
            <w:right w:val="none" w:sz="0" w:space="0" w:color="auto"/>
          </w:divBdr>
          <w:divsChild>
            <w:div w:id="61611164">
              <w:marLeft w:val="0"/>
              <w:marRight w:val="0"/>
              <w:marTop w:val="0"/>
              <w:marBottom w:val="0"/>
              <w:divBdr>
                <w:top w:val="none" w:sz="0" w:space="0" w:color="auto"/>
                <w:left w:val="none" w:sz="0" w:space="0" w:color="auto"/>
                <w:bottom w:val="none" w:sz="0" w:space="0" w:color="auto"/>
                <w:right w:val="none" w:sz="0" w:space="0" w:color="auto"/>
              </w:divBdr>
            </w:div>
            <w:div w:id="151410533">
              <w:marLeft w:val="0"/>
              <w:marRight w:val="0"/>
              <w:marTop w:val="0"/>
              <w:marBottom w:val="0"/>
              <w:divBdr>
                <w:top w:val="none" w:sz="0" w:space="0" w:color="auto"/>
                <w:left w:val="none" w:sz="0" w:space="0" w:color="auto"/>
                <w:bottom w:val="none" w:sz="0" w:space="0" w:color="auto"/>
                <w:right w:val="none" w:sz="0" w:space="0" w:color="auto"/>
              </w:divBdr>
            </w:div>
            <w:div w:id="214199954">
              <w:marLeft w:val="0"/>
              <w:marRight w:val="0"/>
              <w:marTop w:val="0"/>
              <w:marBottom w:val="0"/>
              <w:divBdr>
                <w:top w:val="none" w:sz="0" w:space="0" w:color="auto"/>
                <w:left w:val="none" w:sz="0" w:space="0" w:color="auto"/>
                <w:bottom w:val="none" w:sz="0" w:space="0" w:color="auto"/>
                <w:right w:val="none" w:sz="0" w:space="0" w:color="auto"/>
              </w:divBdr>
            </w:div>
            <w:div w:id="1882596609">
              <w:marLeft w:val="0"/>
              <w:marRight w:val="0"/>
              <w:marTop w:val="0"/>
              <w:marBottom w:val="0"/>
              <w:divBdr>
                <w:top w:val="none" w:sz="0" w:space="0" w:color="auto"/>
                <w:left w:val="none" w:sz="0" w:space="0" w:color="auto"/>
                <w:bottom w:val="none" w:sz="0" w:space="0" w:color="auto"/>
                <w:right w:val="none" w:sz="0" w:space="0" w:color="auto"/>
              </w:divBdr>
            </w:div>
            <w:div w:id="1986467682">
              <w:marLeft w:val="0"/>
              <w:marRight w:val="0"/>
              <w:marTop w:val="0"/>
              <w:marBottom w:val="0"/>
              <w:divBdr>
                <w:top w:val="none" w:sz="0" w:space="0" w:color="auto"/>
                <w:left w:val="none" w:sz="0" w:space="0" w:color="auto"/>
                <w:bottom w:val="none" w:sz="0" w:space="0" w:color="auto"/>
                <w:right w:val="none" w:sz="0" w:space="0" w:color="auto"/>
              </w:divBdr>
            </w:div>
          </w:divsChild>
        </w:div>
        <w:div w:id="625701130">
          <w:marLeft w:val="0"/>
          <w:marRight w:val="0"/>
          <w:marTop w:val="0"/>
          <w:marBottom w:val="0"/>
          <w:divBdr>
            <w:top w:val="none" w:sz="0" w:space="0" w:color="auto"/>
            <w:left w:val="none" w:sz="0" w:space="0" w:color="auto"/>
            <w:bottom w:val="none" w:sz="0" w:space="0" w:color="auto"/>
            <w:right w:val="none" w:sz="0" w:space="0" w:color="auto"/>
          </w:divBdr>
        </w:div>
        <w:div w:id="647635018">
          <w:marLeft w:val="0"/>
          <w:marRight w:val="0"/>
          <w:marTop w:val="0"/>
          <w:marBottom w:val="0"/>
          <w:divBdr>
            <w:top w:val="none" w:sz="0" w:space="0" w:color="auto"/>
            <w:left w:val="none" w:sz="0" w:space="0" w:color="auto"/>
            <w:bottom w:val="none" w:sz="0" w:space="0" w:color="auto"/>
            <w:right w:val="none" w:sz="0" w:space="0" w:color="auto"/>
          </w:divBdr>
        </w:div>
        <w:div w:id="659311162">
          <w:marLeft w:val="0"/>
          <w:marRight w:val="0"/>
          <w:marTop w:val="0"/>
          <w:marBottom w:val="0"/>
          <w:divBdr>
            <w:top w:val="none" w:sz="0" w:space="0" w:color="auto"/>
            <w:left w:val="none" w:sz="0" w:space="0" w:color="auto"/>
            <w:bottom w:val="none" w:sz="0" w:space="0" w:color="auto"/>
            <w:right w:val="none" w:sz="0" w:space="0" w:color="auto"/>
          </w:divBdr>
        </w:div>
        <w:div w:id="663167678">
          <w:marLeft w:val="0"/>
          <w:marRight w:val="0"/>
          <w:marTop w:val="0"/>
          <w:marBottom w:val="0"/>
          <w:divBdr>
            <w:top w:val="none" w:sz="0" w:space="0" w:color="auto"/>
            <w:left w:val="none" w:sz="0" w:space="0" w:color="auto"/>
            <w:bottom w:val="none" w:sz="0" w:space="0" w:color="auto"/>
            <w:right w:val="none" w:sz="0" w:space="0" w:color="auto"/>
          </w:divBdr>
        </w:div>
        <w:div w:id="669990936">
          <w:marLeft w:val="0"/>
          <w:marRight w:val="0"/>
          <w:marTop w:val="0"/>
          <w:marBottom w:val="0"/>
          <w:divBdr>
            <w:top w:val="none" w:sz="0" w:space="0" w:color="auto"/>
            <w:left w:val="none" w:sz="0" w:space="0" w:color="auto"/>
            <w:bottom w:val="none" w:sz="0" w:space="0" w:color="auto"/>
            <w:right w:val="none" w:sz="0" w:space="0" w:color="auto"/>
          </w:divBdr>
        </w:div>
        <w:div w:id="670567006">
          <w:marLeft w:val="0"/>
          <w:marRight w:val="0"/>
          <w:marTop w:val="0"/>
          <w:marBottom w:val="0"/>
          <w:divBdr>
            <w:top w:val="none" w:sz="0" w:space="0" w:color="auto"/>
            <w:left w:val="none" w:sz="0" w:space="0" w:color="auto"/>
            <w:bottom w:val="none" w:sz="0" w:space="0" w:color="auto"/>
            <w:right w:val="none" w:sz="0" w:space="0" w:color="auto"/>
          </w:divBdr>
        </w:div>
        <w:div w:id="672101229">
          <w:marLeft w:val="0"/>
          <w:marRight w:val="0"/>
          <w:marTop w:val="0"/>
          <w:marBottom w:val="0"/>
          <w:divBdr>
            <w:top w:val="none" w:sz="0" w:space="0" w:color="auto"/>
            <w:left w:val="none" w:sz="0" w:space="0" w:color="auto"/>
            <w:bottom w:val="none" w:sz="0" w:space="0" w:color="auto"/>
            <w:right w:val="none" w:sz="0" w:space="0" w:color="auto"/>
          </w:divBdr>
        </w:div>
        <w:div w:id="686831569">
          <w:marLeft w:val="0"/>
          <w:marRight w:val="0"/>
          <w:marTop w:val="0"/>
          <w:marBottom w:val="0"/>
          <w:divBdr>
            <w:top w:val="none" w:sz="0" w:space="0" w:color="auto"/>
            <w:left w:val="none" w:sz="0" w:space="0" w:color="auto"/>
            <w:bottom w:val="none" w:sz="0" w:space="0" w:color="auto"/>
            <w:right w:val="none" w:sz="0" w:space="0" w:color="auto"/>
          </w:divBdr>
        </w:div>
        <w:div w:id="687566659">
          <w:marLeft w:val="0"/>
          <w:marRight w:val="0"/>
          <w:marTop w:val="0"/>
          <w:marBottom w:val="0"/>
          <w:divBdr>
            <w:top w:val="none" w:sz="0" w:space="0" w:color="auto"/>
            <w:left w:val="none" w:sz="0" w:space="0" w:color="auto"/>
            <w:bottom w:val="none" w:sz="0" w:space="0" w:color="auto"/>
            <w:right w:val="none" w:sz="0" w:space="0" w:color="auto"/>
          </w:divBdr>
          <w:divsChild>
            <w:div w:id="231353977">
              <w:marLeft w:val="0"/>
              <w:marRight w:val="0"/>
              <w:marTop w:val="0"/>
              <w:marBottom w:val="0"/>
              <w:divBdr>
                <w:top w:val="none" w:sz="0" w:space="0" w:color="auto"/>
                <w:left w:val="none" w:sz="0" w:space="0" w:color="auto"/>
                <w:bottom w:val="none" w:sz="0" w:space="0" w:color="auto"/>
                <w:right w:val="none" w:sz="0" w:space="0" w:color="auto"/>
              </w:divBdr>
            </w:div>
            <w:div w:id="394163133">
              <w:marLeft w:val="0"/>
              <w:marRight w:val="0"/>
              <w:marTop w:val="0"/>
              <w:marBottom w:val="0"/>
              <w:divBdr>
                <w:top w:val="none" w:sz="0" w:space="0" w:color="auto"/>
                <w:left w:val="none" w:sz="0" w:space="0" w:color="auto"/>
                <w:bottom w:val="none" w:sz="0" w:space="0" w:color="auto"/>
                <w:right w:val="none" w:sz="0" w:space="0" w:color="auto"/>
              </w:divBdr>
            </w:div>
            <w:div w:id="1015309730">
              <w:marLeft w:val="0"/>
              <w:marRight w:val="0"/>
              <w:marTop w:val="0"/>
              <w:marBottom w:val="0"/>
              <w:divBdr>
                <w:top w:val="none" w:sz="0" w:space="0" w:color="auto"/>
                <w:left w:val="none" w:sz="0" w:space="0" w:color="auto"/>
                <w:bottom w:val="none" w:sz="0" w:space="0" w:color="auto"/>
                <w:right w:val="none" w:sz="0" w:space="0" w:color="auto"/>
              </w:divBdr>
            </w:div>
            <w:div w:id="1114134481">
              <w:marLeft w:val="0"/>
              <w:marRight w:val="0"/>
              <w:marTop w:val="0"/>
              <w:marBottom w:val="0"/>
              <w:divBdr>
                <w:top w:val="none" w:sz="0" w:space="0" w:color="auto"/>
                <w:left w:val="none" w:sz="0" w:space="0" w:color="auto"/>
                <w:bottom w:val="none" w:sz="0" w:space="0" w:color="auto"/>
                <w:right w:val="none" w:sz="0" w:space="0" w:color="auto"/>
              </w:divBdr>
            </w:div>
            <w:div w:id="1818037313">
              <w:marLeft w:val="0"/>
              <w:marRight w:val="0"/>
              <w:marTop w:val="0"/>
              <w:marBottom w:val="0"/>
              <w:divBdr>
                <w:top w:val="none" w:sz="0" w:space="0" w:color="auto"/>
                <w:left w:val="none" w:sz="0" w:space="0" w:color="auto"/>
                <w:bottom w:val="none" w:sz="0" w:space="0" w:color="auto"/>
                <w:right w:val="none" w:sz="0" w:space="0" w:color="auto"/>
              </w:divBdr>
            </w:div>
          </w:divsChild>
        </w:div>
        <w:div w:id="687676874">
          <w:marLeft w:val="0"/>
          <w:marRight w:val="0"/>
          <w:marTop w:val="0"/>
          <w:marBottom w:val="0"/>
          <w:divBdr>
            <w:top w:val="none" w:sz="0" w:space="0" w:color="auto"/>
            <w:left w:val="none" w:sz="0" w:space="0" w:color="auto"/>
            <w:bottom w:val="none" w:sz="0" w:space="0" w:color="auto"/>
            <w:right w:val="none" w:sz="0" w:space="0" w:color="auto"/>
          </w:divBdr>
        </w:div>
        <w:div w:id="702025846">
          <w:marLeft w:val="0"/>
          <w:marRight w:val="0"/>
          <w:marTop w:val="0"/>
          <w:marBottom w:val="0"/>
          <w:divBdr>
            <w:top w:val="none" w:sz="0" w:space="0" w:color="auto"/>
            <w:left w:val="none" w:sz="0" w:space="0" w:color="auto"/>
            <w:bottom w:val="none" w:sz="0" w:space="0" w:color="auto"/>
            <w:right w:val="none" w:sz="0" w:space="0" w:color="auto"/>
          </w:divBdr>
        </w:div>
        <w:div w:id="710958493">
          <w:marLeft w:val="0"/>
          <w:marRight w:val="0"/>
          <w:marTop w:val="0"/>
          <w:marBottom w:val="0"/>
          <w:divBdr>
            <w:top w:val="none" w:sz="0" w:space="0" w:color="auto"/>
            <w:left w:val="none" w:sz="0" w:space="0" w:color="auto"/>
            <w:bottom w:val="none" w:sz="0" w:space="0" w:color="auto"/>
            <w:right w:val="none" w:sz="0" w:space="0" w:color="auto"/>
          </w:divBdr>
        </w:div>
        <w:div w:id="711735742">
          <w:marLeft w:val="0"/>
          <w:marRight w:val="0"/>
          <w:marTop w:val="0"/>
          <w:marBottom w:val="0"/>
          <w:divBdr>
            <w:top w:val="none" w:sz="0" w:space="0" w:color="auto"/>
            <w:left w:val="none" w:sz="0" w:space="0" w:color="auto"/>
            <w:bottom w:val="none" w:sz="0" w:space="0" w:color="auto"/>
            <w:right w:val="none" w:sz="0" w:space="0" w:color="auto"/>
          </w:divBdr>
        </w:div>
        <w:div w:id="715854407">
          <w:marLeft w:val="0"/>
          <w:marRight w:val="0"/>
          <w:marTop w:val="0"/>
          <w:marBottom w:val="0"/>
          <w:divBdr>
            <w:top w:val="none" w:sz="0" w:space="0" w:color="auto"/>
            <w:left w:val="none" w:sz="0" w:space="0" w:color="auto"/>
            <w:bottom w:val="none" w:sz="0" w:space="0" w:color="auto"/>
            <w:right w:val="none" w:sz="0" w:space="0" w:color="auto"/>
          </w:divBdr>
        </w:div>
        <w:div w:id="723455951">
          <w:marLeft w:val="0"/>
          <w:marRight w:val="0"/>
          <w:marTop w:val="0"/>
          <w:marBottom w:val="0"/>
          <w:divBdr>
            <w:top w:val="none" w:sz="0" w:space="0" w:color="auto"/>
            <w:left w:val="none" w:sz="0" w:space="0" w:color="auto"/>
            <w:bottom w:val="none" w:sz="0" w:space="0" w:color="auto"/>
            <w:right w:val="none" w:sz="0" w:space="0" w:color="auto"/>
          </w:divBdr>
        </w:div>
        <w:div w:id="723484242">
          <w:marLeft w:val="0"/>
          <w:marRight w:val="0"/>
          <w:marTop w:val="0"/>
          <w:marBottom w:val="0"/>
          <w:divBdr>
            <w:top w:val="none" w:sz="0" w:space="0" w:color="auto"/>
            <w:left w:val="none" w:sz="0" w:space="0" w:color="auto"/>
            <w:bottom w:val="none" w:sz="0" w:space="0" w:color="auto"/>
            <w:right w:val="none" w:sz="0" w:space="0" w:color="auto"/>
          </w:divBdr>
        </w:div>
        <w:div w:id="733695763">
          <w:marLeft w:val="0"/>
          <w:marRight w:val="0"/>
          <w:marTop w:val="0"/>
          <w:marBottom w:val="0"/>
          <w:divBdr>
            <w:top w:val="none" w:sz="0" w:space="0" w:color="auto"/>
            <w:left w:val="none" w:sz="0" w:space="0" w:color="auto"/>
            <w:bottom w:val="none" w:sz="0" w:space="0" w:color="auto"/>
            <w:right w:val="none" w:sz="0" w:space="0" w:color="auto"/>
          </w:divBdr>
          <w:divsChild>
            <w:div w:id="508760017">
              <w:marLeft w:val="0"/>
              <w:marRight w:val="0"/>
              <w:marTop w:val="0"/>
              <w:marBottom w:val="0"/>
              <w:divBdr>
                <w:top w:val="none" w:sz="0" w:space="0" w:color="auto"/>
                <w:left w:val="none" w:sz="0" w:space="0" w:color="auto"/>
                <w:bottom w:val="none" w:sz="0" w:space="0" w:color="auto"/>
                <w:right w:val="none" w:sz="0" w:space="0" w:color="auto"/>
              </w:divBdr>
            </w:div>
            <w:div w:id="585042327">
              <w:marLeft w:val="0"/>
              <w:marRight w:val="0"/>
              <w:marTop w:val="0"/>
              <w:marBottom w:val="0"/>
              <w:divBdr>
                <w:top w:val="none" w:sz="0" w:space="0" w:color="auto"/>
                <w:left w:val="none" w:sz="0" w:space="0" w:color="auto"/>
                <w:bottom w:val="none" w:sz="0" w:space="0" w:color="auto"/>
                <w:right w:val="none" w:sz="0" w:space="0" w:color="auto"/>
              </w:divBdr>
            </w:div>
            <w:div w:id="837499275">
              <w:marLeft w:val="0"/>
              <w:marRight w:val="0"/>
              <w:marTop w:val="0"/>
              <w:marBottom w:val="0"/>
              <w:divBdr>
                <w:top w:val="none" w:sz="0" w:space="0" w:color="auto"/>
                <w:left w:val="none" w:sz="0" w:space="0" w:color="auto"/>
                <w:bottom w:val="none" w:sz="0" w:space="0" w:color="auto"/>
                <w:right w:val="none" w:sz="0" w:space="0" w:color="auto"/>
              </w:divBdr>
            </w:div>
            <w:div w:id="1683437543">
              <w:marLeft w:val="0"/>
              <w:marRight w:val="0"/>
              <w:marTop w:val="0"/>
              <w:marBottom w:val="0"/>
              <w:divBdr>
                <w:top w:val="none" w:sz="0" w:space="0" w:color="auto"/>
                <w:left w:val="none" w:sz="0" w:space="0" w:color="auto"/>
                <w:bottom w:val="none" w:sz="0" w:space="0" w:color="auto"/>
                <w:right w:val="none" w:sz="0" w:space="0" w:color="auto"/>
              </w:divBdr>
            </w:div>
            <w:div w:id="1806464444">
              <w:marLeft w:val="0"/>
              <w:marRight w:val="0"/>
              <w:marTop w:val="0"/>
              <w:marBottom w:val="0"/>
              <w:divBdr>
                <w:top w:val="none" w:sz="0" w:space="0" w:color="auto"/>
                <w:left w:val="none" w:sz="0" w:space="0" w:color="auto"/>
                <w:bottom w:val="none" w:sz="0" w:space="0" w:color="auto"/>
                <w:right w:val="none" w:sz="0" w:space="0" w:color="auto"/>
              </w:divBdr>
            </w:div>
          </w:divsChild>
        </w:div>
        <w:div w:id="740566853">
          <w:marLeft w:val="0"/>
          <w:marRight w:val="0"/>
          <w:marTop w:val="0"/>
          <w:marBottom w:val="0"/>
          <w:divBdr>
            <w:top w:val="none" w:sz="0" w:space="0" w:color="auto"/>
            <w:left w:val="none" w:sz="0" w:space="0" w:color="auto"/>
            <w:bottom w:val="none" w:sz="0" w:space="0" w:color="auto"/>
            <w:right w:val="none" w:sz="0" w:space="0" w:color="auto"/>
          </w:divBdr>
        </w:div>
        <w:div w:id="740639608">
          <w:marLeft w:val="0"/>
          <w:marRight w:val="0"/>
          <w:marTop w:val="0"/>
          <w:marBottom w:val="0"/>
          <w:divBdr>
            <w:top w:val="none" w:sz="0" w:space="0" w:color="auto"/>
            <w:left w:val="none" w:sz="0" w:space="0" w:color="auto"/>
            <w:bottom w:val="none" w:sz="0" w:space="0" w:color="auto"/>
            <w:right w:val="none" w:sz="0" w:space="0" w:color="auto"/>
          </w:divBdr>
        </w:div>
        <w:div w:id="744761726">
          <w:marLeft w:val="0"/>
          <w:marRight w:val="0"/>
          <w:marTop w:val="0"/>
          <w:marBottom w:val="0"/>
          <w:divBdr>
            <w:top w:val="none" w:sz="0" w:space="0" w:color="auto"/>
            <w:left w:val="none" w:sz="0" w:space="0" w:color="auto"/>
            <w:bottom w:val="none" w:sz="0" w:space="0" w:color="auto"/>
            <w:right w:val="none" w:sz="0" w:space="0" w:color="auto"/>
          </w:divBdr>
        </w:div>
        <w:div w:id="765156783">
          <w:marLeft w:val="0"/>
          <w:marRight w:val="0"/>
          <w:marTop w:val="0"/>
          <w:marBottom w:val="0"/>
          <w:divBdr>
            <w:top w:val="none" w:sz="0" w:space="0" w:color="auto"/>
            <w:left w:val="none" w:sz="0" w:space="0" w:color="auto"/>
            <w:bottom w:val="none" w:sz="0" w:space="0" w:color="auto"/>
            <w:right w:val="none" w:sz="0" w:space="0" w:color="auto"/>
          </w:divBdr>
        </w:div>
        <w:div w:id="765999993">
          <w:marLeft w:val="0"/>
          <w:marRight w:val="0"/>
          <w:marTop w:val="0"/>
          <w:marBottom w:val="0"/>
          <w:divBdr>
            <w:top w:val="none" w:sz="0" w:space="0" w:color="auto"/>
            <w:left w:val="none" w:sz="0" w:space="0" w:color="auto"/>
            <w:bottom w:val="none" w:sz="0" w:space="0" w:color="auto"/>
            <w:right w:val="none" w:sz="0" w:space="0" w:color="auto"/>
          </w:divBdr>
        </w:div>
        <w:div w:id="784736439">
          <w:marLeft w:val="0"/>
          <w:marRight w:val="0"/>
          <w:marTop w:val="0"/>
          <w:marBottom w:val="0"/>
          <w:divBdr>
            <w:top w:val="none" w:sz="0" w:space="0" w:color="auto"/>
            <w:left w:val="none" w:sz="0" w:space="0" w:color="auto"/>
            <w:bottom w:val="none" w:sz="0" w:space="0" w:color="auto"/>
            <w:right w:val="none" w:sz="0" w:space="0" w:color="auto"/>
          </w:divBdr>
          <w:divsChild>
            <w:div w:id="63381601">
              <w:marLeft w:val="0"/>
              <w:marRight w:val="0"/>
              <w:marTop w:val="0"/>
              <w:marBottom w:val="0"/>
              <w:divBdr>
                <w:top w:val="none" w:sz="0" w:space="0" w:color="auto"/>
                <w:left w:val="none" w:sz="0" w:space="0" w:color="auto"/>
                <w:bottom w:val="none" w:sz="0" w:space="0" w:color="auto"/>
                <w:right w:val="none" w:sz="0" w:space="0" w:color="auto"/>
              </w:divBdr>
            </w:div>
            <w:div w:id="666523139">
              <w:marLeft w:val="0"/>
              <w:marRight w:val="0"/>
              <w:marTop w:val="0"/>
              <w:marBottom w:val="0"/>
              <w:divBdr>
                <w:top w:val="none" w:sz="0" w:space="0" w:color="auto"/>
                <w:left w:val="none" w:sz="0" w:space="0" w:color="auto"/>
                <w:bottom w:val="none" w:sz="0" w:space="0" w:color="auto"/>
                <w:right w:val="none" w:sz="0" w:space="0" w:color="auto"/>
              </w:divBdr>
            </w:div>
            <w:div w:id="895505566">
              <w:marLeft w:val="0"/>
              <w:marRight w:val="0"/>
              <w:marTop w:val="0"/>
              <w:marBottom w:val="0"/>
              <w:divBdr>
                <w:top w:val="none" w:sz="0" w:space="0" w:color="auto"/>
                <w:left w:val="none" w:sz="0" w:space="0" w:color="auto"/>
                <w:bottom w:val="none" w:sz="0" w:space="0" w:color="auto"/>
                <w:right w:val="none" w:sz="0" w:space="0" w:color="auto"/>
              </w:divBdr>
            </w:div>
            <w:div w:id="1193805585">
              <w:marLeft w:val="0"/>
              <w:marRight w:val="0"/>
              <w:marTop w:val="0"/>
              <w:marBottom w:val="0"/>
              <w:divBdr>
                <w:top w:val="none" w:sz="0" w:space="0" w:color="auto"/>
                <w:left w:val="none" w:sz="0" w:space="0" w:color="auto"/>
                <w:bottom w:val="none" w:sz="0" w:space="0" w:color="auto"/>
                <w:right w:val="none" w:sz="0" w:space="0" w:color="auto"/>
              </w:divBdr>
            </w:div>
            <w:div w:id="1434324507">
              <w:marLeft w:val="0"/>
              <w:marRight w:val="0"/>
              <w:marTop w:val="0"/>
              <w:marBottom w:val="0"/>
              <w:divBdr>
                <w:top w:val="none" w:sz="0" w:space="0" w:color="auto"/>
                <w:left w:val="none" w:sz="0" w:space="0" w:color="auto"/>
                <w:bottom w:val="none" w:sz="0" w:space="0" w:color="auto"/>
                <w:right w:val="none" w:sz="0" w:space="0" w:color="auto"/>
              </w:divBdr>
            </w:div>
          </w:divsChild>
        </w:div>
        <w:div w:id="789856221">
          <w:marLeft w:val="0"/>
          <w:marRight w:val="0"/>
          <w:marTop w:val="0"/>
          <w:marBottom w:val="0"/>
          <w:divBdr>
            <w:top w:val="none" w:sz="0" w:space="0" w:color="auto"/>
            <w:left w:val="none" w:sz="0" w:space="0" w:color="auto"/>
            <w:bottom w:val="none" w:sz="0" w:space="0" w:color="auto"/>
            <w:right w:val="none" w:sz="0" w:space="0" w:color="auto"/>
          </w:divBdr>
        </w:div>
        <w:div w:id="797379748">
          <w:marLeft w:val="0"/>
          <w:marRight w:val="0"/>
          <w:marTop w:val="0"/>
          <w:marBottom w:val="0"/>
          <w:divBdr>
            <w:top w:val="none" w:sz="0" w:space="0" w:color="auto"/>
            <w:left w:val="none" w:sz="0" w:space="0" w:color="auto"/>
            <w:bottom w:val="none" w:sz="0" w:space="0" w:color="auto"/>
            <w:right w:val="none" w:sz="0" w:space="0" w:color="auto"/>
          </w:divBdr>
        </w:div>
        <w:div w:id="826751980">
          <w:marLeft w:val="0"/>
          <w:marRight w:val="0"/>
          <w:marTop w:val="0"/>
          <w:marBottom w:val="0"/>
          <w:divBdr>
            <w:top w:val="none" w:sz="0" w:space="0" w:color="auto"/>
            <w:left w:val="none" w:sz="0" w:space="0" w:color="auto"/>
            <w:bottom w:val="none" w:sz="0" w:space="0" w:color="auto"/>
            <w:right w:val="none" w:sz="0" w:space="0" w:color="auto"/>
          </w:divBdr>
        </w:div>
        <w:div w:id="826828019">
          <w:marLeft w:val="0"/>
          <w:marRight w:val="0"/>
          <w:marTop w:val="0"/>
          <w:marBottom w:val="0"/>
          <w:divBdr>
            <w:top w:val="none" w:sz="0" w:space="0" w:color="auto"/>
            <w:left w:val="none" w:sz="0" w:space="0" w:color="auto"/>
            <w:bottom w:val="none" w:sz="0" w:space="0" w:color="auto"/>
            <w:right w:val="none" w:sz="0" w:space="0" w:color="auto"/>
          </w:divBdr>
        </w:div>
        <w:div w:id="829178246">
          <w:marLeft w:val="0"/>
          <w:marRight w:val="0"/>
          <w:marTop w:val="0"/>
          <w:marBottom w:val="0"/>
          <w:divBdr>
            <w:top w:val="none" w:sz="0" w:space="0" w:color="auto"/>
            <w:left w:val="none" w:sz="0" w:space="0" w:color="auto"/>
            <w:bottom w:val="none" w:sz="0" w:space="0" w:color="auto"/>
            <w:right w:val="none" w:sz="0" w:space="0" w:color="auto"/>
          </w:divBdr>
        </w:div>
        <w:div w:id="830563161">
          <w:marLeft w:val="0"/>
          <w:marRight w:val="0"/>
          <w:marTop w:val="0"/>
          <w:marBottom w:val="0"/>
          <w:divBdr>
            <w:top w:val="none" w:sz="0" w:space="0" w:color="auto"/>
            <w:left w:val="none" w:sz="0" w:space="0" w:color="auto"/>
            <w:bottom w:val="none" w:sz="0" w:space="0" w:color="auto"/>
            <w:right w:val="none" w:sz="0" w:space="0" w:color="auto"/>
          </w:divBdr>
        </w:div>
        <w:div w:id="835455364">
          <w:marLeft w:val="0"/>
          <w:marRight w:val="0"/>
          <w:marTop w:val="0"/>
          <w:marBottom w:val="0"/>
          <w:divBdr>
            <w:top w:val="none" w:sz="0" w:space="0" w:color="auto"/>
            <w:left w:val="none" w:sz="0" w:space="0" w:color="auto"/>
            <w:bottom w:val="none" w:sz="0" w:space="0" w:color="auto"/>
            <w:right w:val="none" w:sz="0" w:space="0" w:color="auto"/>
          </w:divBdr>
        </w:div>
        <w:div w:id="871068571">
          <w:marLeft w:val="0"/>
          <w:marRight w:val="0"/>
          <w:marTop w:val="0"/>
          <w:marBottom w:val="0"/>
          <w:divBdr>
            <w:top w:val="none" w:sz="0" w:space="0" w:color="auto"/>
            <w:left w:val="none" w:sz="0" w:space="0" w:color="auto"/>
            <w:bottom w:val="none" w:sz="0" w:space="0" w:color="auto"/>
            <w:right w:val="none" w:sz="0" w:space="0" w:color="auto"/>
          </w:divBdr>
        </w:div>
        <w:div w:id="903300430">
          <w:marLeft w:val="0"/>
          <w:marRight w:val="0"/>
          <w:marTop w:val="0"/>
          <w:marBottom w:val="0"/>
          <w:divBdr>
            <w:top w:val="none" w:sz="0" w:space="0" w:color="auto"/>
            <w:left w:val="none" w:sz="0" w:space="0" w:color="auto"/>
            <w:bottom w:val="none" w:sz="0" w:space="0" w:color="auto"/>
            <w:right w:val="none" w:sz="0" w:space="0" w:color="auto"/>
          </w:divBdr>
        </w:div>
        <w:div w:id="903493121">
          <w:marLeft w:val="0"/>
          <w:marRight w:val="0"/>
          <w:marTop w:val="0"/>
          <w:marBottom w:val="0"/>
          <w:divBdr>
            <w:top w:val="none" w:sz="0" w:space="0" w:color="auto"/>
            <w:left w:val="none" w:sz="0" w:space="0" w:color="auto"/>
            <w:bottom w:val="none" w:sz="0" w:space="0" w:color="auto"/>
            <w:right w:val="none" w:sz="0" w:space="0" w:color="auto"/>
          </w:divBdr>
          <w:divsChild>
            <w:div w:id="910430909">
              <w:marLeft w:val="0"/>
              <w:marRight w:val="0"/>
              <w:marTop w:val="0"/>
              <w:marBottom w:val="0"/>
              <w:divBdr>
                <w:top w:val="none" w:sz="0" w:space="0" w:color="auto"/>
                <w:left w:val="none" w:sz="0" w:space="0" w:color="auto"/>
                <w:bottom w:val="none" w:sz="0" w:space="0" w:color="auto"/>
                <w:right w:val="none" w:sz="0" w:space="0" w:color="auto"/>
              </w:divBdr>
            </w:div>
            <w:div w:id="1073938607">
              <w:marLeft w:val="0"/>
              <w:marRight w:val="0"/>
              <w:marTop w:val="0"/>
              <w:marBottom w:val="0"/>
              <w:divBdr>
                <w:top w:val="none" w:sz="0" w:space="0" w:color="auto"/>
                <w:left w:val="none" w:sz="0" w:space="0" w:color="auto"/>
                <w:bottom w:val="none" w:sz="0" w:space="0" w:color="auto"/>
                <w:right w:val="none" w:sz="0" w:space="0" w:color="auto"/>
              </w:divBdr>
            </w:div>
            <w:div w:id="1137727137">
              <w:marLeft w:val="0"/>
              <w:marRight w:val="0"/>
              <w:marTop w:val="0"/>
              <w:marBottom w:val="0"/>
              <w:divBdr>
                <w:top w:val="none" w:sz="0" w:space="0" w:color="auto"/>
                <w:left w:val="none" w:sz="0" w:space="0" w:color="auto"/>
                <w:bottom w:val="none" w:sz="0" w:space="0" w:color="auto"/>
                <w:right w:val="none" w:sz="0" w:space="0" w:color="auto"/>
              </w:divBdr>
            </w:div>
            <w:div w:id="1977250932">
              <w:marLeft w:val="0"/>
              <w:marRight w:val="0"/>
              <w:marTop w:val="0"/>
              <w:marBottom w:val="0"/>
              <w:divBdr>
                <w:top w:val="none" w:sz="0" w:space="0" w:color="auto"/>
                <w:left w:val="none" w:sz="0" w:space="0" w:color="auto"/>
                <w:bottom w:val="none" w:sz="0" w:space="0" w:color="auto"/>
                <w:right w:val="none" w:sz="0" w:space="0" w:color="auto"/>
              </w:divBdr>
            </w:div>
            <w:div w:id="2072120839">
              <w:marLeft w:val="0"/>
              <w:marRight w:val="0"/>
              <w:marTop w:val="0"/>
              <w:marBottom w:val="0"/>
              <w:divBdr>
                <w:top w:val="none" w:sz="0" w:space="0" w:color="auto"/>
                <w:left w:val="none" w:sz="0" w:space="0" w:color="auto"/>
                <w:bottom w:val="none" w:sz="0" w:space="0" w:color="auto"/>
                <w:right w:val="none" w:sz="0" w:space="0" w:color="auto"/>
              </w:divBdr>
            </w:div>
          </w:divsChild>
        </w:div>
        <w:div w:id="911935390">
          <w:marLeft w:val="0"/>
          <w:marRight w:val="0"/>
          <w:marTop w:val="0"/>
          <w:marBottom w:val="0"/>
          <w:divBdr>
            <w:top w:val="none" w:sz="0" w:space="0" w:color="auto"/>
            <w:left w:val="none" w:sz="0" w:space="0" w:color="auto"/>
            <w:bottom w:val="none" w:sz="0" w:space="0" w:color="auto"/>
            <w:right w:val="none" w:sz="0" w:space="0" w:color="auto"/>
          </w:divBdr>
        </w:div>
        <w:div w:id="915700839">
          <w:marLeft w:val="0"/>
          <w:marRight w:val="0"/>
          <w:marTop w:val="0"/>
          <w:marBottom w:val="0"/>
          <w:divBdr>
            <w:top w:val="none" w:sz="0" w:space="0" w:color="auto"/>
            <w:left w:val="none" w:sz="0" w:space="0" w:color="auto"/>
            <w:bottom w:val="none" w:sz="0" w:space="0" w:color="auto"/>
            <w:right w:val="none" w:sz="0" w:space="0" w:color="auto"/>
          </w:divBdr>
        </w:div>
        <w:div w:id="918174199">
          <w:marLeft w:val="0"/>
          <w:marRight w:val="0"/>
          <w:marTop w:val="0"/>
          <w:marBottom w:val="0"/>
          <w:divBdr>
            <w:top w:val="none" w:sz="0" w:space="0" w:color="auto"/>
            <w:left w:val="none" w:sz="0" w:space="0" w:color="auto"/>
            <w:bottom w:val="none" w:sz="0" w:space="0" w:color="auto"/>
            <w:right w:val="none" w:sz="0" w:space="0" w:color="auto"/>
          </w:divBdr>
        </w:div>
        <w:div w:id="930896369">
          <w:marLeft w:val="0"/>
          <w:marRight w:val="0"/>
          <w:marTop w:val="0"/>
          <w:marBottom w:val="0"/>
          <w:divBdr>
            <w:top w:val="none" w:sz="0" w:space="0" w:color="auto"/>
            <w:left w:val="none" w:sz="0" w:space="0" w:color="auto"/>
            <w:bottom w:val="none" w:sz="0" w:space="0" w:color="auto"/>
            <w:right w:val="none" w:sz="0" w:space="0" w:color="auto"/>
          </w:divBdr>
        </w:div>
        <w:div w:id="931667394">
          <w:marLeft w:val="0"/>
          <w:marRight w:val="0"/>
          <w:marTop w:val="0"/>
          <w:marBottom w:val="0"/>
          <w:divBdr>
            <w:top w:val="none" w:sz="0" w:space="0" w:color="auto"/>
            <w:left w:val="none" w:sz="0" w:space="0" w:color="auto"/>
            <w:bottom w:val="none" w:sz="0" w:space="0" w:color="auto"/>
            <w:right w:val="none" w:sz="0" w:space="0" w:color="auto"/>
          </w:divBdr>
        </w:div>
        <w:div w:id="932131163">
          <w:marLeft w:val="0"/>
          <w:marRight w:val="0"/>
          <w:marTop w:val="0"/>
          <w:marBottom w:val="0"/>
          <w:divBdr>
            <w:top w:val="none" w:sz="0" w:space="0" w:color="auto"/>
            <w:left w:val="none" w:sz="0" w:space="0" w:color="auto"/>
            <w:bottom w:val="none" w:sz="0" w:space="0" w:color="auto"/>
            <w:right w:val="none" w:sz="0" w:space="0" w:color="auto"/>
          </w:divBdr>
        </w:div>
        <w:div w:id="935208678">
          <w:marLeft w:val="0"/>
          <w:marRight w:val="0"/>
          <w:marTop w:val="0"/>
          <w:marBottom w:val="0"/>
          <w:divBdr>
            <w:top w:val="none" w:sz="0" w:space="0" w:color="auto"/>
            <w:left w:val="none" w:sz="0" w:space="0" w:color="auto"/>
            <w:bottom w:val="none" w:sz="0" w:space="0" w:color="auto"/>
            <w:right w:val="none" w:sz="0" w:space="0" w:color="auto"/>
          </w:divBdr>
        </w:div>
        <w:div w:id="940995254">
          <w:marLeft w:val="0"/>
          <w:marRight w:val="0"/>
          <w:marTop w:val="0"/>
          <w:marBottom w:val="0"/>
          <w:divBdr>
            <w:top w:val="none" w:sz="0" w:space="0" w:color="auto"/>
            <w:left w:val="none" w:sz="0" w:space="0" w:color="auto"/>
            <w:bottom w:val="none" w:sz="0" w:space="0" w:color="auto"/>
            <w:right w:val="none" w:sz="0" w:space="0" w:color="auto"/>
          </w:divBdr>
        </w:div>
        <w:div w:id="949968242">
          <w:marLeft w:val="0"/>
          <w:marRight w:val="0"/>
          <w:marTop w:val="0"/>
          <w:marBottom w:val="0"/>
          <w:divBdr>
            <w:top w:val="none" w:sz="0" w:space="0" w:color="auto"/>
            <w:left w:val="none" w:sz="0" w:space="0" w:color="auto"/>
            <w:bottom w:val="none" w:sz="0" w:space="0" w:color="auto"/>
            <w:right w:val="none" w:sz="0" w:space="0" w:color="auto"/>
          </w:divBdr>
        </w:div>
        <w:div w:id="955408563">
          <w:marLeft w:val="0"/>
          <w:marRight w:val="0"/>
          <w:marTop w:val="0"/>
          <w:marBottom w:val="0"/>
          <w:divBdr>
            <w:top w:val="none" w:sz="0" w:space="0" w:color="auto"/>
            <w:left w:val="none" w:sz="0" w:space="0" w:color="auto"/>
            <w:bottom w:val="none" w:sz="0" w:space="0" w:color="auto"/>
            <w:right w:val="none" w:sz="0" w:space="0" w:color="auto"/>
          </w:divBdr>
        </w:div>
        <w:div w:id="965158956">
          <w:marLeft w:val="0"/>
          <w:marRight w:val="0"/>
          <w:marTop w:val="0"/>
          <w:marBottom w:val="0"/>
          <w:divBdr>
            <w:top w:val="none" w:sz="0" w:space="0" w:color="auto"/>
            <w:left w:val="none" w:sz="0" w:space="0" w:color="auto"/>
            <w:bottom w:val="none" w:sz="0" w:space="0" w:color="auto"/>
            <w:right w:val="none" w:sz="0" w:space="0" w:color="auto"/>
          </w:divBdr>
          <w:divsChild>
            <w:div w:id="12070714">
              <w:marLeft w:val="0"/>
              <w:marRight w:val="0"/>
              <w:marTop w:val="0"/>
              <w:marBottom w:val="0"/>
              <w:divBdr>
                <w:top w:val="none" w:sz="0" w:space="0" w:color="auto"/>
                <w:left w:val="none" w:sz="0" w:space="0" w:color="auto"/>
                <w:bottom w:val="none" w:sz="0" w:space="0" w:color="auto"/>
                <w:right w:val="none" w:sz="0" w:space="0" w:color="auto"/>
              </w:divBdr>
            </w:div>
            <w:div w:id="189487944">
              <w:marLeft w:val="0"/>
              <w:marRight w:val="0"/>
              <w:marTop w:val="0"/>
              <w:marBottom w:val="0"/>
              <w:divBdr>
                <w:top w:val="none" w:sz="0" w:space="0" w:color="auto"/>
                <w:left w:val="none" w:sz="0" w:space="0" w:color="auto"/>
                <w:bottom w:val="none" w:sz="0" w:space="0" w:color="auto"/>
                <w:right w:val="none" w:sz="0" w:space="0" w:color="auto"/>
              </w:divBdr>
            </w:div>
            <w:div w:id="788553419">
              <w:marLeft w:val="0"/>
              <w:marRight w:val="0"/>
              <w:marTop w:val="0"/>
              <w:marBottom w:val="0"/>
              <w:divBdr>
                <w:top w:val="none" w:sz="0" w:space="0" w:color="auto"/>
                <w:left w:val="none" w:sz="0" w:space="0" w:color="auto"/>
                <w:bottom w:val="none" w:sz="0" w:space="0" w:color="auto"/>
                <w:right w:val="none" w:sz="0" w:space="0" w:color="auto"/>
              </w:divBdr>
            </w:div>
            <w:div w:id="1764371260">
              <w:marLeft w:val="0"/>
              <w:marRight w:val="0"/>
              <w:marTop w:val="0"/>
              <w:marBottom w:val="0"/>
              <w:divBdr>
                <w:top w:val="none" w:sz="0" w:space="0" w:color="auto"/>
                <w:left w:val="none" w:sz="0" w:space="0" w:color="auto"/>
                <w:bottom w:val="none" w:sz="0" w:space="0" w:color="auto"/>
                <w:right w:val="none" w:sz="0" w:space="0" w:color="auto"/>
              </w:divBdr>
            </w:div>
            <w:div w:id="1798454154">
              <w:marLeft w:val="0"/>
              <w:marRight w:val="0"/>
              <w:marTop w:val="0"/>
              <w:marBottom w:val="0"/>
              <w:divBdr>
                <w:top w:val="none" w:sz="0" w:space="0" w:color="auto"/>
                <w:left w:val="none" w:sz="0" w:space="0" w:color="auto"/>
                <w:bottom w:val="none" w:sz="0" w:space="0" w:color="auto"/>
                <w:right w:val="none" w:sz="0" w:space="0" w:color="auto"/>
              </w:divBdr>
            </w:div>
          </w:divsChild>
        </w:div>
        <w:div w:id="968441247">
          <w:marLeft w:val="0"/>
          <w:marRight w:val="0"/>
          <w:marTop w:val="0"/>
          <w:marBottom w:val="0"/>
          <w:divBdr>
            <w:top w:val="none" w:sz="0" w:space="0" w:color="auto"/>
            <w:left w:val="none" w:sz="0" w:space="0" w:color="auto"/>
            <w:bottom w:val="none" w:sz="0" w:space="0" w:color="auto"/>
            <w:right w:val="none" w:sz="0" w:space="0" w:color="auto"/>
          </w:divBdr>
        </w:div>
        <w:div w:id="982932666">
          <w:marLeft w:val="0"/>
          <w:marRight w:val="0"/>
          <w:marTop w:val="0"/>
          <w:marBottom w:val="0"/>
          <w:divBdr>
            <w:top w:val="none" w:sz="0" w:space="0" w:color="auto"/>
            <w:left w:val="none" w:sz="0" w:space="0" w:color="auto"/>
            <w:bottom w:val="none" w:sz="0" w:space="0" w:color="auto"/>
            <w:right w:val="none" w:sz="0" w:space="0" w:color="auto"/>
          </w:divBdr>
        </w:div>
        <w:div w:id="996762052">
          <w:marLeft w:val="0"/>
          <w:marRight w:val="0"/>
          <w:marTop w:val="0"/>
          <w:marBottom w:val="0"/>
          <w:divBdr>
            <w:top w:val="none" w:sz="0" w:space="0" w:color="auto"/>
            <w:left w:val="none" w:sz="0" w:space="0" w:color="auto"/>
            <w:bottom w:val="none" w:sz="0" w:space="0" w:color="auto"/>
            <w:right w:val="none" w:sz="0" w:space="0" w:color="auto"/>
          </w:divBdr>
          <w:divsChild>
            <w:div w:id="792790481">
              <w:marLeft w:val="0"/>
              <w:marRight w:val="0"/>
              <w:marTop w:val="0"/>
              <w:marBottom w:val="0"/>
              <w:divBdr>
                <w:top w:val="none" w:sz="0" w:space="0" w:color="auto"/>
                <w:left w:val="none" w:sz="0" w:space="0" w:color="auto"/>
                <w:bottom w:val="none" w:sz="0" w:space="0" w:color="auto"/>
                <w:right w:val="none" w:sz="0" w:space="0" w:color="auto"/>
              </w:divBdr>
            </w:div>
            <w:div w:id="986862590">
              <w:marLeft w:val="0"/>
              <w:marRight w:val="0"/>
              <w:marTop w:val="0"/>
              <w:marBottom w:val="0"/>
              <w:divBdr>
                <w:top w:val="none" w:sz="0" w:space="0" w:color="auto"/>
                <w:left w:val="none" w:sz="0" w:space="0" w:color="auto"/>
                <w:bottom w:val="none" w:sz="0" w:space="0" w:color="auto"/>
                <w:right w:val="none" w:sz="0" w:space="0" w:color="auto"/>
              </w:divBdr>
            </w:div>
            <w:div w:id="1215852126">
              <w:marLeft w:val="0"/>
              <w:marRight w:val="0"/>
              <w:marTop w:val="0"/>
              <w:marBottom w:val="0"/>
              <w:divBdr>
                <w:top w:val="none" w:sz="0" w:space="0" w:color="auto"/>
                <w:left w:val="none" w:sz="0" w:space="0" w:color="auto"/>
                <w:bottom w:val="none" w:sz="0" w:space="0" w:color="auto"/>
                <w:right w:val="none" w:sz="0" w:space="0" w:color="auto"/>
              </w:divBdr>
            </w:div>
            <w:div w:id="1437562072">
              <w:marLeft w:val="0"/>
              <w:marRight w:val="0"/>
              <w:marTop w:val="0"/>
              <w:marBottom w:val="0"/>
              <w:divBdr>
                <w:top w:val="none" w:sz="0" w:space="0" w:color="auto"/>
                <w:left w:val="none" w:sz="0" w:space="0" w:color="auto"/>
                <w:bottom w:val="none" w:sz="0" w:space="0" w:color="auto"/>
                <w:right w:val="none" w:sz="0" w:space="0" w:color="auto"/>
              </w:divBdr>
            </w:div>
            <w:div w:id="1678847448">
              <w:marLeft w:val="0"/>
              <w:marRight w:val="0"/>
              <w:marTop w:val="0"/>
              <w:marBottom w:val="0"/>
              <w:divBdr>
                <w:top w:val="none" w:sz="0" w:space="0" w:color="auto"/>
                <w:left w:val="none" w:sz="0" w:space="0" w:color="auto"/>
                <w:bottom w:val="none" w:sz="0" w:space="0" w:color="auto"/>
                <w:right w:val="none" w:sz="0" w:space="0" w:color="auto"/>
              </w:divBdr>
            </w:div>
          </w:divsChild>
        </w:div>
        <w:div w:id="998269080">
          <w:marLeft w:val="0"/>
          <w:marRight w:val="0"/>
          <w:marTop w:val="0"/>
          <w:marBottom w:val="0"/>
          <w:divBdr>
            <w:top w:val="none" w:sz="0" w:space="0" w:color="auto"/>
            <w:left w:val="none" w:sz="0" w:space="0" w:color="auto"/>
            <w:bottom w:val="none" w:sz="0" w:space="0" w:color="auto"/>
            <w:right w:val="none" w:sz="0" w:space="0" w:color="auto"/>
          </w:divBdr>
        </w:div>
        <w:div w:id="1017077049">
          <w:marLeft w:val="0"/>
          <w:marRight w:val="0"/>
          <w:marTop w:val="0"/>
          <w:marBottom w:val="0"/>
          <w:divBdr>
            <w:top w:val="none" w:sz="0" w:space="0" w:color="auto"/>
            <w:left w:val="none" w:sz="0" w:space="0" w:color="auto"/>
            <w:bottom w:val="none" w:sz="0" w:space="0" w:color="auto"/>
            <w:right w:val="none" w:sz="0" w:space="0" w:color="auto"/>
          </w:divBdr>
        </w:div>
        <w:div w:id="1032800828">
          <w:marLeft w:val="0"/>
          <w:marRight w:val="0"/>
          <w:marTop w:val="0"/>
          <w:marBottom w:val="0"/>
          <w:divBdr>
            <w:top w:val="none" w:sz="0" w:space="0" w:color="auto"/>
            <w:left w:val="none" w:sz="0" w:space="0" w:color="auto"/>
            <w:bottom w:val="none" w:sz="0" w:space="0" w:color="auto"/>
            <w:right w:val="none" w:sz="0" w:space="0" w:color="auto"/>
          </w:divBdr>
        </w:div>
        <w:div w:id="1034815627">
          <w:marLeft w:val="0"/>
          <w:marRight w:val="0"/>
          <w:marTop w:val="0"/>
          <w:marBottom w:val="0"/>
          <w:divBdr>
            <w:top w:val="none" w:sz="0" w:space="0" w:color="auto"/>
            <w:left w:val="none" w:sz="0" w:space="0" w:color="auto"/>
            <w:bottom w:val="none" w:sz="0" w:space="0" w:color="auto"/>
            <w:right w:val="none" w:sz="0" w:space="0" w:color="auto"/>
          </w:divBdr>
        </w:div>
        <w:div w:id="1044135661">
          <w:marLeft w:val="0"/>
          <w:marRight w:val="0"/>
          <w:marTop w:val="0"/>
          <w:marBottom w:val="0"/>
          <w:divBdr>
            <w:top w:val="none" w:sz="0" w:space="0" w:color="auto"/>
            <w:left w:val="none" w:sz="0" w:space="0" w:color="auto"/>
            <w:bottom w:val="none" w:sz="0" w:space="0" w:color="auto"/>
            <w:right w:val="none" w:sz="0" w:space="0" w:color="auto"/>
          </w:divBdr>
        </w:div>
        <w:div w:id="1053851016">
          <w:marLeft w:val="0"/>
          <w:marRight w:val="0"/>
          <w:marTop w:val="0"/>
          <w:marBottom w:val="0"/>
          <w:divBdr>
            <w:top w:val="none" w:sz="0" w:space="0" w:color="auto"/>
            <w:left w:val="none" w:sz="0" w:space="0" w:color="auto"/>
            <w:bottom w:val="none" w:sz="0" w:space="0" w:color="auto"/>
            <w:right w:val="none" w:sz="0" w:space="0" w:color="auto"/>
          </w:divBdr>
        </w:div>
        <w:div w:id="1053968835">
          <w:marLeft w:val="0"/>
          <w:marRight w:val="0"/>
          <w:marTop w:val="0"/>
          <w:marBottom w:val="0"/>
          <w:divBdr>
            <w:top w:val="none" w:sz="0" w:space="0" w:color="auto"/>
            <w:left w:val="none" w:sz="0" w:space="0" w:color="auto"/>
            <w:bottom w:val="none" w:sz="0" w:space="0" w:color="auto"/>
            <w:right w:val="none" w:sz="0" w:space="0" w:color="auto"/>
          </w:divBdr>
          <w:divsChild>
            <w:div w:id="595527942">
              <w:marLeft w:val="0"/>
              <w:marRight w:val="0"/>
              <w:marTop w:val="0"/>
              <w:marBottom w:val="0"/>
              <w:divBdr>
                <w:top w:val="none" w:sz="0" w:space="0" w:color="auto"/>
                <w:left w:val="none" w:sz="0" w:space="0" w:color="auto"/>
                <w:bottom w:val="none" w:sz="0" w:space="0" w:color="auto"/>
                <w:right w:val="none" w:sz="0" w:space="0" w:color="auto"/>
              </w:divBdr>
            </w:div>
            <w:div w:id="693192991">
              <w:marLeft w:val="0"/>
              <w:marRight w:val="0"/>
              <w:marTop w:val="0"/>
              <w:marBottom w:val="0"/>
              <w:divBdr>
                <w:top w:val="none" w:sz="0" w:space="0" w:color="auto"/>
                <w:left w:val="none" w:sz="0" w:space="0" w:color="auto"/>
                <w:bottom w:val="none" w:sz="0" w:space="0" w:color="auto"/>
                <w:right w:val="none" w:sz="0" w:space="0" w:color="auto"/>
              </w:divBdr>
            </w:div>
            <w:div w:id="934678103">
              <w:marLeft w:val="0"/>
              <w:marRight w:val="0"/>
              <w:marTop w:val="0"/>
              <w:marBottom w:val="0"/>
              <w:divBdr>
                <w:top w:val="none" w:sz="0" w:space="0" w:color="auto"/>
                <w:left w:val="none" w:sz="0" w:space="0" w:color="auto"/>
                <w:bottom w:val="none" w:sz="0" w:space="0" w:color="auto"/>
                <w:right w:val="none" w:sz="0" w:space="0" w:color="auto"/>
              </w:divBdr>
            </w:div>
            <w:div w:id="1273633539">
              <w:marLeft w:val="0"/>
              <w:marRight w:val="0"/>
              <w:marTop w:val="0"/>
              <w:marBottom w:val="0"/>
              <w:divBdr>
                <w:top w:val="none" w:sz="0" w:space="0" w:color="auto"/>
                <w:left w:val="none" w:sz="0" w:space="0" w:color="auto"/>
                <w:bottom w:val="none" w:sz="0" w:space="0" w:color="auto"/>
                <w:right w:val="none" w:sz="0" w:space="0" w:color="auto"/>
              </w:divBdr>
            </w:div>
            <w:div w:id="1641811112">
              <w:marLeft w:val="0"/>
              <w:marRight w:val="0"/>
              <w:marTop w:val="0"/>
              <w:marBottom w:val="0"/>
              <w:divBdr>
                <w:top w:val="none" w:sz="0" w:space="0" w:color="auto"/>
                <w:left w:val="none" w:sz="0" w:space="0" w:color="auto"/>
                <w:bottom w:val="none" w:sz="0" w:space="0" w:color="auto"/>
                <w:right w:val="none" w:sz="0" w:space="0" w:color="auto"/>
              </w:divBdr>
            </w:div>
          </w:divsChild>
        </w:div>
        <w:div w:id="1068114263">
          <w:marLeft w:val="0"/>
          <w:marRight w:val="0"/>
          <w:marTop w:val="0"/>
          <w:marBottom w:val="0"/>
          <w:divBdr>
            <w:top w:val="none" w:sz="0" w:space="0" w:color="auto"/>
            <w:left w:val="none" w:sz="0" w:space="0" w:color="auto"/>
            <w:bottom w:val="none" w:sz="0" w:space="0" w:color="auto"/>
            <w:right w:val="none" w:sz="0" w:space="0" w:color="auto"/>
          </w:divBdr>
        </w:div>
        <w:div w:id="1073822432">
          <w:marLeft w:val="0"/>
          <w:marRight w:val="0"/>
          <w:marTop w:val="0"/>
          <w:marBottom w:val="0"/>
          <w:divBdr>
            <w:top w:val="none" w:sz="0" w:space="0" w:color="auto"/>
            <w:left w:val="none" w:sz="0" w:space="0" w:color="auto"/>
            <w:bottom w:val="none" w:sz="0" w:space="0" w:color="auto"/>
            <w:right w:val="none" w:sz="0" w:space="0" w:color="auto"/>
          </w:divBdr>
        </w:div>
        <w:div w:id="1090540794">
          <w:marLeft w:val="0"/>
          <w:marRight w:val="0"/>
          <w:marTop w:val="0"/>
          <w:marBottom w:val="0"/>
          <w:divBdr>
            <w:top w:val="none" w:sz="0" w:space="0" w:color="auto"/>
            <w:left w:val="none" w:sz="0" w:space="0" w:color="auto"/>
            <w:bottom w:val="none" w:sz="0" w:space="0" w:color="auto"/>
            <w:right w:val="none" w:sz="0" w:space="0" w:color="auto"/>
          </w:divBdr>
        </w:div>
        <w:div w:id="1091853209">
          <w:marLeft w:val="0"/>
          <w:marRight w:val="0"/>
          <w:marTop w:val="0"/>
          <w:marBottom w:val="0"/>
          <w:divBdr>
            <w:top w:val="none" w:sz="0" w:space="0" w:color="auto"/>
            <w:left w:val="none" w:sz="0" w:space="0" w:color="auto"/>
            <w:bottom w:val="none" w:sz="0" w:space="0" w:color="auto"/>
            <w:right w:val="none" w:sz="0" w:space="0" w:color="auto"/>
          </w:divBdr>
        </w:div>
        <w:div w:id="1093665835">
          <w:marLeft w:val="0"/>
          <w:marRight w:val="0"/>
          <w:marTop w:val="0"/>
          <w:marBottom w:val="0"/>
          <w:divBdr>
            <w:top w:val="none" w:sz="0" w:space="0" w:color="auto"/>
            <w:left w:val="none" w:sz="0" w:space="0" w:color="auto"/>
            <w:bottom w:val="none" w:sz="0" w:space="0" w:color="auto"/>
            <w:right w:val="none" w:sz="0" w:space="0" w:color="auto"/>
          </w:divBdr>
        </w:div>
        <w:div w:id="1106535135">
          <w:marLeft w:val="0"/>
          <w:marRight w:val="0"/>
          <w:marTop w:val="0"/>
          <w:marBottom w:val="0"/>
          <w:divBdr>
            <w:top w:val="none" w:sz="0" w:space="0" w:color="auto"/>
            <w:left w:val="none" w:sz="0" w:space="0" w:color="auto"/>
            <w:bottom w:val="none" w:sz="0" w:space="0" w:color="auto"/>
            <w:right w:val="none" w:sz="0" w:space="0" w:color="auto"/>
          </w:divBdr>
        </w:div>
        <w:div w:id="1136948424">
          <w:marLeft w:val="0"/>
          <w:marRight w:val="0"/>
          <w:marTop w:val="0"/>
          <w:marBottom w:val="0"/>
          <w:divBdr>
            <w:top w:val="none" w:sz="0" w:space="0" w:color="auto"/>
            <w:left w:val="none" w:sz="0" w:space="0" w:color="auto"/>
            <w:bottom w:val="none" w:sz="0" w:space="0" w:color="auto"/>
            <w:right w:val="none" w:sz="0" w:space="0" w:color="auto"/>
          </w:divBdr>
        </w:div>
        <w:div w:id="1139028966">
          <w:marLeft w:val="0"/>
          <w:marRight w:val="0"/>
          <w:marTop w:val="0"/>
          <w:marBottom w:val="0"/>
          <w:divBdr>
            <w:top w:val="none" w:sz="0" w:space="0" w:color="auto"/>
            <w:left w:val="none" w:sz="0" w:space="0" w:color="auto"/>
            <w:bottom w:val="none" w:sz="0" w:space="0" w:color="auto"/>
            <w:right w:val="none" w:sz="0" w:space="0" w:color="auto"/>
          </w:divBdr>
        </w:div>
        <w:div w:id="1144083264">
          <w:marLeft w:val="0"/>
          <w:marRight w:val="0"/>
          <w:marTop w:val="0"/>
          <w:marBottom w:val="0"/>
          <w:divBdr>
            <w:top w:val="none" w:sz="0" w:space="0" w:color="auto"/>
            <w:left w:val="none" w:sz="0" w:space="0" w:color="auto"/>
            <w:bottom w:val="none" w:sz="0" w:space="0" w:color="auto"/>
            <w:right w:val="none" w:sz="0" w:space="0" w:color="auto"/>
          </w:divBdr>
          <w:divsChild>
            <w:div w:id="642589640">
              <w:marLeft w:val="-75"/>
              <w:marRight w:val="0"/>
              <w:marTop w:val="30"/>
              <w:marBottom w:val="30"/>
              <w:divBdr>
                <w:top w:val="none" w:sz="0" w:space="0" w:color="auto"/>
                <w:left w:val="none" w:sz="0" w:space="0" w:color="auto"/>
                <w:bottom w:val="none" w:sz="0" w:space="0" w:color="auto"/>
                <w:right w:val="none" w:sz="0" w:space="0" w:color="auto"/>
              </w:divBdr>
              <w:divsChild>
                <w:div w:id="108204517">
                  <w:marLeft w:val="0"/>
                  <w:marRight w:val="0"/>
                  <w:marTop w:val="0"/>
                  <w:marBottom w:val="0"/>
                  <w:divBdr>
                    <w:top w:val="none" w:sz="0" w:space="0" w:color="auto"/>
                    <w:left w:val="none" w:sz="0" w:space="0" w:color="auto"/>
                    <w:bottom w:val="none" w:sz="0" w:space="0" w:color="auto"/>
                    <w:right w:val="none" w:sz="0" w:space="0" w:color="auto"/>
                  </w:divBdr>
                  <w:divsChild>
                    <w:div w:id="1313412721">
                      <w:marLeft w:val="0"/>
                      <w:marRight w:val="0"/>
                      <w:marTop w:val="0"/>
                      <w:marBottom w:val="0"/>
                      <w:divBdr>
                        <w:top w:val="none" w:sz="0" w:space="0" w:color="auto"/>
                        <w:left w:val="none" w:sz="0" w:space="0" w:color="auto"/>
                        <w:bottom w:val="none" w:sz="0" w:space="0" w:color="auto"/>
                        <w:right w:val="none" w:sz="0" w:space="0" w:color="auto"/>
                      </w:divBdr>
                    </w:div>
                  </w:divsChild>
                </w:div>
                <w:div w:id="119109826">
                  <w:marLeft w:val="0"/>
                  <w:marRight w:val="0"/>
                  <w:marTop w:val="0"/>
                  <w:marBottom w:val="0"/>
                  <w:divBdr>
                    <w:top w:val="none" w:sz="0" w:space="0" w:color="auto"/>
                    <w:left w:val="none" w:sz="0" w:space="0" w:color="auto"/>
                    <w:bottom w:val="none" w:sz="0" w:space="0" w:color="auto"/>
                    <w:right w:val="none" w:sz="0" w:space="0" w:color="auto"/>
                  </w:divBdr>
                  <w:divsChild>
                    <w:div w:id="759302228">
                      <w:marLeft w:val="0"/>
                      <w:marRight w:val="0"/>
                      <w:marTop w:val="0"/>
                      <w:marBottom w:val="0"/>
                      <w:divBdr>
                        <w:top w:val="none" w:sz="0" w:space="0" w:color="auto"/>
                        <w:left w:val="none" w:sz="0" w:space="0" w:color="auto"/>
                        <w:bottom w:val="none" w:sz="0" w:space="0" w:color="auto"/>
                        <w:right w:val="none" w:sz="0" w:space="0" w:color="auto"/>
                      </w:divBdr>
                    </w:div>
                  </w:divsChild>
                </w:div>
                <w:div w:id="132872568">
                  <w:marLeft w:val="0"/>
                  <w:marRight w:val="0"/>
                  <w:marTop w:val="0"/>
                  <w:marBottom w:val="0"/>
                  <w:divBdr>
                    <w:top w:val="none" w:sz="0" w:space="0" w:color="auto"/>
                    <w:left w:val="none" w:sz="0" w:space="0" w:color="auto"/>
                    <w:bottom w:val="none" w:sz="0" w:space="0" w:color="auto"/>
                    <w:right w:val="none" w:sz="0" w:space="0" w:color="auto"/>
                  </w:divBdr>
                  <w:divsChild>
                    <w:div w:id="485165490">
                      <w:marLeft w:val="0"/>
                      <w:marRight w:val="0"/>
                      <w:marTop w:val="0"/>
                      <w:marBottom w:val="0"/>
                      <w:divBdr>
                        <w:top w:val="none" w:sz="0" w:space="0" w:color="auto"/>
                        <w:left w:val="none" w:sz="0" w:space="0" w:color="auto"/>
                        <w:bottom w:val="none" w:sz="0" w:space="0" w:color="auto"/>
                        <w:right w:val="none" w:sz="0" w:space="0" w:color="auto"/>
                      </w:divBdr>
                    </w:div>
                  </w:divsChild>
                </w:div>
                <w:div w:id="163282881">
                  <w:marLeft w:val="0"/>
                  <w:marRight w:val="0"/>
                  <w:marTop w:val="0"/>
                  <w:marBottom w:val="0"/>
                  <w:divBdr>
                    <w:top w:val="none" w:sz="0" w:space="0" w:color="auto"/>
                    <w:left w:val="none" w:sz="0" w:space="0" w:color="auto"/>
                    <w:bottom w:val="none" w:sz="0" w:space="0" w:color="auto"/>
                    <w:right w:val="none" w:sz="0" w:space="0" w:color="auto"/>
                  </w:divBdr>
                  <w:divsChild>
                    <w:div w:id="65961436">
                      <w:marLeft w:val="0"/>
                      <w:marRight w:val="0"/>
                      <w:marTop w:val="0"/>
                      <w:marBottom w:val="0"/>
                      <w:divBdr>
                        <w:top w:val="none" w:sz="0" w:space="0" w:color="auto"/>
                        <w:left w:val="none" w:sz="0" w:space="0" w:color="auto"/>
                        <w:bottom w:val="none" w:sz="0" w:space="0" w:color="auto"/>
                        <w:right w:val="none" w:sz="0" w:space="0" w:color="auto"/>
                      </w:divBdr>
                    </w:div>
                  </w:divsChild>
                </w:div>
                <w:div w:id="165176981">
                  <w:marLeft w:val="0"/>
                  <w:marRight w:val="0"/>
                  <w:marTop w:val="0"/>
                  <w:marBottom w:val="0"/>
                  <w:divBdr>
                    <w:top w:val="none" w:sz="0" w:space="0" w:color="auto"/>
                    <w:left w:val="none" w:sz="0" w:space="0" w:color="auto"/>
                    <w:bottom w:val="none" w:sz="0" w:space="0" w:color="auto"/>
                    <w:right w:val="none" w:sz="0" w:space="0" w:color="auto"/>
                  </w:divBdr>
                  <w:divsChild>
                    <w:div w:id="741221192">
                      <w:marLeft w:val="0"/>
                      <w:marRight w:val="0"/>
                      <w:marTop w:val="0"/>
                      <w:marBottom w:val="0"/>
                      <w:divBdr>
                        <w:top w:val="none" w:sz="0" w:space="0" w:color="auto"/>
                        <w:left w:val="none" w:sz="0" w:space="0" w:color="auto"/>
                        <w:bottom w:val="none" w:sz="0" w:space="0" w:color="auto"/>
                        <w:right w:val="none" w:sz="0" w:space="0" w:color="auto"/>
                      </w:divBdr>
                    </w:div>
                  </w:divsChild>
                </w:div>
                <w:div w:id="188809413">
                  <w:marLeft w:val="0"/>
                  <w:marRight w:val="0"/>
                  <w:marTop w:val="0"/>
                  <w:marBottom w:val="0"/>
                  <w:divBdr>
                    <w:top w:val="none" w:sz="0" w:space="0" w:color="auto"/>
                    <w:left w:val="none" w:sz="0" w:space="0" w:color="auto"/>
                    <w:bottom w:val="none" w:sz="0" w:space="0" w:color="auto"/>
                    <w:right w:val="none" w:sz="0" w:space="0" w:color="auto"/>
                  </w:divBdr>
                  <w:divsChild>
                    <w:div w:id="1701979239">
                      <w:marLeft w:val="0"/>
                      <w:marRight w:val="0"/>
                      <w:marTop w:val="0"/>
                      <w:marBottom w:val="0"/>
                      <w:divBdr>
                        <w:top w:val="none" w:sz="0" w:space="0" w:color="auto"/>
                        <w:left w:val="none" w:sz="0" w:space="0" w:color="auto"/>
                        <w:bottom w:val="none" w:sz="0" w:space="0" w:color="auto"/>
                        <w:right w:val="none" w:sz="0" w:space="0" w:color="auto"/>
                      </w:divBdr>
                    </w:div>
                  </w:divsChild>
                </w:div>
                <w:div w:id="255675254">
                  <w:marLeft w:val="0"/>
                  <w:marRight w:val="0"/>
                  <w:marTop w:val="0"/>
                  <w:marBottom w:val="0"/>
                  <w:divBdr>
                    <w:top w:val="none" w:sz="0" w:space="0" w:color="auto"/>
                    <w:left w:val="none" w:sz="0" w:space="0" w:color="auto"/>
                    <w:bottom w:val="none" w:sz="0" w:space="0" w:color="auto"/>
                    <w:right w:val="none" w:sz="0" w:space="0" w:color="auto"/>
                  </w:divBdr>
                  <w:divsChild>
                    <w:div w:id="400754035">
                      <w:marLeft w:val="0"/>
                      <w:marRight w:val="0"/>
                      <w:marTop w:val="0"/>
                      <w:marBottom w:val="0"/>
                      <w:divBdr>
                        <w:top w:val="none" w:sz="0" w:space="0" w:color="auto"/>
                        <w:left w:val="none" w:sz="0" w:space="0" w:color="auto"/>
                        <w:bottom w:val="none" w:sz="0" w:space="0" w:color="auto"/>
                        <w:right w:val="none" w:sz="0" w:space="0" w:color="auto"/>
                      </w:divBdr>
                    </w:div>
                  </w:divsChild>
                </w:div>
                <w:div w:id="272251547">
                  <w:marLeft w:val="0"/>
                  <w:marRight w:val="0"/>
                  <w:marTop w:val="0"/>
                  <w:marBottom w:val="0"/>
                  <w:divBdr>
                    <w:top w:val="none" w:sz="0" w:space="0" w:color="auto"/>
                    <w:left w:val="none" w:sz="0" w:space="0" w:color="auto"/>
                    <w:bottom w:val="none" w:sz="0" w:space="0" w:color="auto"/>
                    <w:right w:val="none" w:sz="0" w:space="0" w:color="auto"/>
                  </w:divBdr>
                  <w:divsChild>
                    <w:div w:id="1740250725">
                      <w:marLeft w:val="0"/>
                      <w:marRight w:val="0"/>
                      <w:marTop w:val="0"/>
                      <w:marBottom w:val="0"/>
                      <w:divBdr>
                        <w:top w:val="none" w:sz="0" w:space="0" w:color="auto"/>
                        <w:left w:val="none" w:sz="0" w:space="0" w:color="auto"/>
                        <w:bottom w:val="none" w:sz="0" w:space="0" w:color="auto"/>
                        <w:right w:val="none" w:sz="0" w:space="0" w:color="auto"/>
                      </w:divBdr>
                    </w:div>
                  </w:divsChild>
                </w:div>
                <w:div w:id="289550800">
                  <w:marLeft w:val="0"/>
                  <w:marRight w:val="0"/>
                  <w:marTop w:val="0"/>
                  <w:marBottom w:val="0"/>
                  <w:divBdr>
                    <w:top w:val="none" w:sz="0" w:space="0" w:color="auto"/>
                    <w:left w:val="none" w:sz="0" w:space="0" w:color="auto"/>
                    <w:bottom w:val="none" w:sz="0" w:space="0" w:color="auto"/>
                    <w:right w:val="none" w:sz="0" w:space="0" w:color="auto"/>
                  </w:divBdr>
                  <w:divsChild>
                    <w:div w:id="1253051366">
                      <w:marLeft w:val="0"/>
                      <w:marRight w:val="0"/>
                      <w:marTop w:val="0"/>
                      <w:marBottom w:val="0"/>
                      <w:divBdr>
                        <w:top w:val="none" w:sz="0" w:space="0" w:color="auto"/>
                        <w:left w:val="none" w:sz="0" w:space="0" w:color="auto"/>
                        <w:bottom w:val="none" w:sz="0" w:space="0" w:color="auto"/>
                        <w:right w:val="none" w:sz="0" w:space="0" w:color="auto"/>
                      </w:divBdr>
                    </w:div>
                  </w:divsChild>
                </w:div>
                <w:div w:id="323163360">
                  <w:marLeft w:val="0"/>
                  <w:marRight w:val="0"/>
                  <w:marTop w:val="0"/>
                  <w:marBottom w:val="0"/>
                  <w:divBdr>
                    <w:top w:val="none" w:sz="0" w:space="0" w:color="auto"/>
                    <w:left w:val="none" w:sz="0" w:space="0" w:color="auto"/>
                    <w:bottom w:val="none" w:sz="0" w:space="0" w:color="auto"/>
                    <w:right w:val="none" w:sz="0" w:space="0" w:color="auto"/>
                  </w:divBdr>
                  <w:divsChild>
                    <w:div w:id="1825732346">
                      <w:marLeft w:val="0"/>
                      <w:marRight w:val="0"/>
                      <w:marTop w:val="0"/>
                      <w:marBottom w:val="0"/>
                      <w:divBdr>
                        <w:top w:val="none" w:sz="0" w:space="0" w:color="auto"/>
                        <w:left w:val="none" w:sz="0" w:space="0" w:color="auto"/>
                        <w:bottom w:val="none" w:sz="0" w:space="0" w:color="auto"/>
                        <w:right w:val="none" w:sz="0" w:space="0" w:color="auto"/>
                      </w:divBdr>
                    </w:div>
                  </w:divsChild>
                </w:div>
                <w:div w:id="335310302">
                  <w:marLeft w:val="0"/>
                  <w:marRight w:val="0"/>
                  <w:marTop w:val="0"/>
                  <w:marBottom w:val="0"/>
                  <w:divBdr>
                    <w:top w:val="none" w:sz="0" w:space="0" w:color="auto"/>
                    <w:left w:val="none" w:sz="0" w:space="0" w:color="auto"/>
                    <w:bottom w:val="none" w:sz="0" w:space="0" w:color="auto"/>
                    <w:right w:val="none" w:sz="0" w:space="0" w:color="auto"/>
                  </w:divBdr>
                  <w:divsChild>
                    <w:div w:id="926503398">
                      <w:marLeft w:val="0"/>
                      <w:marRight w:val="0"/>
                      <w:marTop w:val="0"/>
                      <w:marBottom w:val="0"/>
                      <w:divBdr>
                        <w:top w:val="none" w:sz="0" w:space="0" w:color="auto"/>
                        <w:left w:val="none" w:sz="0" w:space="0" w:color="auto"/>
                        <w:bottom w:val="none" w:sz="0" w:space="0" w:color="auto"/>
                        <w:right w:val="none" w:sz="0" w:space="0" w:color="auto"/>
                      </w:divBdr>
                    </w:div>
                  </w:divsChild>
                </w:div>
                <w:div w:id="395710136">
                  <w:marLeft w:val="0"/>
                  <w:marRight w:val="0"/>
                  <w:marTop w:val="0"/>
                  <w:marBottom w:val="0"/>
                  <w:divBdr>
                    <w:top w:val="none" w:sz="0" w:space="0" w:color="auto"/>
                    <w:left w:val="none" w:sz="0" w:space="0" w:color="auto"/>
                    <w:bottom w:val="none" w:sz="0" w:space="0" w:color="auto"/>
                    <w:right w:val="none" w:sz="0" w:space="0" w:color="auto"/>
                  </w:divBdr>
                  <w:divsChild>
                    <w:div w:id="938484218">
                      <w:marLeft w:val="0"/>
                      <w:marRight w:val="0"/>
                      <w:marTop w:val="0"/>
                      <w:marBottom w:val="0"/>
                      <w:divBdr>
                        <w:top w:val="none" w:sz="0" w:space="0" w:color="auto"/>
                        <w:left w:val="none" w:sz="0" w:space="0" w:color="auto"/>
                        <w:bottom w:val="none" w:sz="0" w:space="0" w:color="auto"/>
                        <w:right w:val="none" w:sz="0" w:space="0" w:color="auto"/>
                      </w:divBdr>
                    </w:div>
                  </w:divsChild>
                </w:div>
                <w:div w:id="599794706">
                  <w:marLeft w:val="0"/>
                  <w:marRight w:val="0"/>
                  <w:marTop w:val="0"/>
                  <w:marBottom w:val="0"/>
                  <w:divBdr>
                    <w:top w:val="none" w:sz="0" w:space="0" w:color="auto"/>
                    <w:left w:val="none" w:sz="0" w:space="0" w:color="auto"/>
                    <w:bottom w:val="none" w:sz="0" w:space="0" w:color="auto"/>
                    <w:right w:val="none" w:sz="0" w:space="0" w:color="auto"/>
                  </w:divBdr>
                  <w:divsChild>
                    <w:div w:id="93208671">
                      <w:marLeft w:val="0"/>
                      <w:marRight w:val="0"/>
                      <w:marTop w:val="0"/>
                      <w:marBottom w:val="0"/>
                      <w:divBdr>
                        <w:top w:val="none" w:sz="0" w:space="0" w:color="auto"/>
                        <w:left w:val="none" w:sz="0" w:space="0" w:color="auto"/>
                        <w:bottom w:val="none" w:sz="0" w:space="0" w:color="auto"/>
                        <w:right w:val="none" w:sz="0" w:space="0" w:color="auto"/>
                      </w:divBdr>
                    </w:div>
                  </w:divsChild>
                </w:div>
                <w:div w:id="606886815">
                  <w:marLeft w:val="0"/>
                  <w:marRight w:val="0"/>
                  <w:marTop w:val="0"/>
                  <w:marBottom w:val="0"/>
                  <w:divBdr>
                    <w:top w:val="none" w:sz="0" w:space="0" w:color="auto"/>
                    <w:left w:val="none" w:sz="0" w:space="0" w:color="auto"/>
                    <w:bottom w:val="none" w:sz="0" w:space="0" w:color="auto"/>
                    <w:right w:val="none" w:sz="0" w:space="0" w:color="auto"/>
                  </w:divBdr>
                  <w:divsChild>
                    <w:div w:id="855728806">
                      <w:marLeft w:val="0"/>
                      <w:marRight w:val="0"/>
                      <w:marTop w:val="0"/>
                      <w:marBottom w:val="0"/>
                      <w:divBdr>
                        <w:top w:val="none" w:sz="0" w:space="0" w:color="auto"/>
                        <w:left w:val="none" w:sz="0" w:space="0" w:color="auto"/>
                        <w:bottom w:val="none" w:sz="0" w:space="0" w:color="auto"/>
                        <w:right w:val="none" w:sz="0" w:space="0" w:color="auto"/>
                      </w:divBdr>
                    </w:div>
                  </w:divsChild>
                </w:div>
                <w:div w:id="635646093">
                  <w:marLeft w:val="0"/>
                  <w:marRight w:val="0"/>
                  <w:marTop w:val="0"/>
                  <w:marBottom w:val="0"/>
                  <w:divBdr>
                    <w:top w:val="none" w:sz="0" w:space="0" w:color="auto"/>
                    <w:left w:val="none" w:sz="0" w:space="0" w:color="auto"/>
                    <w:bottom w:val="none" w:sz="0" w:space="0" w:color="auto"/>
                    <w:right w:val="none" w:sz="0" w:space="0" w:color="auto"/>
                  </w:divBdr>
                  <w:divsChild>
                    <w:div w:id="1367288936">
                      <w:marLeft w:val="0"/>
                      <w:marRight w:val="0"/>
                      <w:marTop w:val="0"/>
                      <w:marBottom w:val="0"/>
                      <w:divBdr>
                        <w:top w:val="none" w:sz="0" w:space="0" w:color="auto"/>
                        <w:left w:val="none" w:sz="0" w:space="0" w:color="auto"/>
                        <w:bottom w:val="none" w:sz="0" w:space="0" w:color="auto"/>
                        <w:right w:val="none" w:sz="0" w:space="0" w:color="auto"/>
                      </w:divBdr>
                    </w:div>
                  </w:divsChild>
                </w:div>
                <w:div w:id="644966287">
                  <w:marLeft w:val="0"/>
                  <w:marRight w:val="0"/>
                  <w:marTop w:val="0"/>
                  <w:marBottom w:val="0"/>
                  <w:divBdr>
                    <w:top w:val="none" w:sz="0" w:space="0" w:color="auto"/>
                    <w:left w:val="none" w:sz="0" w:space="0" w:color="auto"/>
                    <w:bottom w:val="none" w:sz="0" w:space="0" w:color="auto"/>
                    <w:right w:val="none" w:sz="0" w:space="0" w:color="auto"/>
                  </w:divBdr>
                  <w:divsChild>
                    <w:div w:id="1918056072">
                      <w:marLeft w:val="0"/>
                      <w:marRight w:val="0"/>
                      <w:marTop w:val="0"/>
                      <w:marBottom w:val="0"/>
                      <w:divBdr>
                        <w:top w:val="none" w:sz="0" w:space="0" w:color="auto"/>
                        <w:left w:val="none" w:sz="0" w:space="0" w:color="auto"/>
                        <w:bottom w:val="none" w:sz="0" w:space="0" w:color="auto"/>
                        <w:right w:val="none" w:sz="0" w:space="0" w:color="auto"/>
                      </w:divBdr>
                    </w:div>
                  </w:divsChild>
                </w:div>
                <w:div w:id="659116405">
                  <w:marLeft w:val="0"/>
                  <w:marRight w:val="0"/>
                  <w:marTop w:val="0"/>
                  <w:marBottom w:val="0"/>
                  <w:divBdr>
                    <w:top w:val="none" w:sz="0" w:space="0" w:color="auto"/>
                    <w:left w:val="none" w:sz="0" w:space="0" w:color="auto"/>
                    <w:bottom w:val="none" w:sz="0" w:space="0" w:color="auto"/>
                    <w:right w:val="none" w:sz="0" w:space="0" w:color="auto"/>
                  </w:divBdr>
                  <w:divsChild>
                    <w:div w:id="1108623429">
                      <w:marLeft w:val="0"/>
                      <w:marRight w:val="0"/>
                      <w:marTop w:val="0"/>
                      <w:marBottom w:val="0"/>
                      <w:divBdr>
                        <w:top w:val="none" w:sz="0" w:space="0" w:color="auto"/>
                        <w:left w:val="none" w:sz="0" w:space="0" w:color="auto"/>
                        <w:bottom w:val="none" w:sz="0" w:space="0" w:color="auto"/>
                        <w:right w:val="none" w:sz="0" w:space="0" w:color="auto"/>
                      </w:divBdr>
                    </w:div>
                  </w:divsChild>
                </w:div>
                <w:div w:id="671875455">
                  <w:marLeft w:val="0"/>
                  <w:marRight w:val="0"/>
                  <w:marTop w:val="0"/>
                  <w:marBottom w:val="0"/>
                  <w:divBdr>
                    <w:top w:val="none" w:sz="0" w:space="0" w:color="auto"/>
                    <w:left w:val="none" w:sz="0" w:space="0" w:color="auto"/>
                    <w:bottom w:val="none" w:sz="0" w:space="0" w:color="auto"/>
                    <w:right w:val="none" w:sz="0" w:space="0" w:color="auto"/>
                  </w:divBdr>
                  <w:divsChild>
                    <w:div w:id="1996759707">
                      <w:marLeft w:val="0"/>
                      <w:marRight w:val="0"/>
                      <w:marTop w:val="0"/>
                      <w:marBottom w:val="0"/>
                      <w:divBdr>
                        <w:top w:val="none" w:sz="0" w:space="0" w:color="auto"/>
                        <w:left w:val="none" w:sz="0" w:space="0" w:color="auto"/>
                        <w:bottom w:val="none" w:sz="0" w:space="0" w:color="auto"/>
                        <w:right w:val="none" w:sz="0" w:space="0" w:color="auto"/>
                      </w:divBdr>
                    </w:div>
                  </w:divsChild>
                </w:div>
                <w:div w:id="769857226">
                  <w:marLeft w:val="0"/>
                  <w:marRight w:val="0"/>
                  <w:marTop w:val="0"/>
                  <w:marBottom w:val="0"/>
                  <w:divBdr>
                    <w:top w:val="none" w:sz="0" w:space="0" w:color="auto"/>
                    <w:left w:val="none" w:sz="0" w:space="0" w:color="auto"/>
                    <w:bottom w:val="none" w:sz="0" w:space="0" w:color="auto"/>
                    <w:right w:val="none" w:sz="0" w:space="0" w:color="auto"/>
                  </w:divBdr>
                  <w:divsChild>
                    <w:div w:id="1216234645">
                      <w:marLeft w:val="0"/>
                      <w:marRight w:val="0"/>
                      <w:marTop w:val="0"/>
                      <w:marBottom w:val="0"/>
                      <w:divBdr>
                        <w:top w:val="none" w:sz="0" w:space="0" w:color="auto"/>
                        <w:left w:val="none" w:sz="0" w:space="0" w:color="auto"/>
                        <w:bottom w:val="none" w:sz="0" w:space="0" w:color="auto"/>
                        <w:right w:val="none" w:sz="0" w:space="0" w:color="auto"/>
                      </w:divBdr>
                    </w:div>
                  </w:divsChild>
                </w:div>
                <w:div w:id="798183487">
                  <w:marLeft w:val="0"/>
                  <w:marRight w:val="0"/>
                  <w:marTop w:val="0"/>
                  <w:marBottom w:val="0"/>
                  <w:divBdr>
                    <w:top w:val="none" w:sz="0" w:space="0" w:color="auto"/>
                    <w:left w:val="none" w:sz="0" w:space="0" w:color="auto"/>
                    <w:bottom w:val="none" w:sz="0" w:space="0" w:color="auto"/>
                    <w:right w:val="none" w:sz="0" w:space="0" w:color="auto"/>
                  </w:divBdr>
                  <w:divsChild>
                    <w:div w:id="626010266">
                      <w:marLeft w:val="0"/>
                      <w:marRight w:val="0"/>
                      <w:marTop w:val="0"/>
                      <w:marBottom w:val="0"/>
                      <w:divBdr>
                        <w:top w:val="none" w:sz="0" w:space="0" w:color="auto"/>
                        <w:left w:val="none" w:sz="0" w:space="0" w:color="auto"/>
                        <w:bottom w:val="none" w:sz="0" w:space="0" w:color="auto"/>
                        <w:right w:val="none" w:sz="0" w:space="0" w:color="auto"/>
                      </w:divBdr>
                    </w:div>
                  </w:divsChild>
                </w:div>
                <w:div w:id="823743687">
                  <w:marLeft w:val="0"/>
                  <w:marRight w:val="0"/>
                  <w:marTop w:val="0"/>
                  <w:marBottom w:val="0"/>
                  <w:divBdr>
                    <w:top w:val="none" w:sz="0" w:space="0" w:color="auto"/>
                    <w:left w:val="none" w:sz="0" w:space="0" w:color="auto"/>
                    <w:bottom w:val="none" w:sz="0" w:space="0" w:color="auto"/>
                    <w:right w:val="none" w:sz="0" w:space="0" w:color="auto"/>
                  </w:divBdr>
                  <w:divsChild>
                    <w:div w:id="1081751894">
                      <w:marLeft w:val="0"/>
                      <w:marRight w:val="0"/>
                      <w:marTop w:val="0"/>
                      <w:marBottom w:val="0"/>
                      <w:divBdr>
                        <w:top w:val="none" w:sz="0" w:space="0" w:color="auto"/>
                        <w:left w:val="none" w:sz="0" w:space="0" w:color="auto"/>
                        <w:bottom w:val="none" w:sz="0" w:space="0" w:color="auto"/>
                        <w:right w:val="none" w:sz="0" w:space="0" w:color="auto"/>
                      </w:divBdr>
                    </w:div>
                  </w:divsChild>
                </w:div>
                <w:div w:id="882905132">
                  <w:marLeft w:val="0"/>
                  <w:marRight w:val="0"/>
                  <w:marTop w:val="0"/>
                  <w:marBottom w:val="0"/>
                  <w:divBdr>
                    <w:top w:val="none" w:sz="0" w:space="0" w:color="auto"/>
                    <w:left w:val="none" w:sz="0" w:space="0" w:color="auto"/>
                    <w:bottom w:val="none" w:sz="0" w:space="0" w:color="auto"/>
                    <w:right w:val="none" w:sz="0" w:space="0" w:color="auto"/>
                  </w:divBdr>
                  <w:divsChild>
                    <w:div w:id="424612349">
                      <w:marLeft w:val="0"/>
                      <w:marRight w:val="0"/>
                      <w:marTop w:val="0"/>
                      <w:marBottom w:val="0"/>
                      <w:divBdr>
                        <w:top w:val="none" w:sz="0" w:space="0" w:color="auto"/>
                        <w:left w:val="none" w:sz="0" w:space="0" w:color="auto"/>
                        <w:bottom w:val="none" w:sz="0" w:space="0" w:color="auto"/>
                        <w:right w:val="none" w:sz="0" w:space="0" w:color="auto"/>
                      </w:divBdr>
                    </w:div>
                  </w:divsChild>
                </w:div>
                <w:div w:id="926117882">
                  <w:marLeft w:val="0"/>
                  <w:marRight w:val="0"/>
                  <w:marTop w:val="0"/>
                  <w:marBottom w:val="0"/>
                  <w:divBdr>
                    <w:top w:val="none" w:sz="0" w:space="0" w:color="auto"/>
                    <w:left w:val="none" w:sz="0" w:space="0" w:color="auto"/>
                    <w:bottom w:val="none" w:sz="0" w:space="0" w:color="auto"/>
                    <w:right w:val="none" w:sz="0" w:space="0" w:color="auto"/>
                  </w:divBdr>
                  <w:divsChild>
                    <w:div w:id="1922059174">
                      <w:marLeft w:val="0"/>
                      <w:marRight w:val="0"/>
                      <w:marTop w:val="0"/>
                      <w:marBottom w:val="0"/>
                      <w:divBdr>
                        <w:top w:val="none" w:sz="0" w:space="0" w:color="auto"/>
                        <w:left w:val="none" w:sz="0" w:space="0" w:color="auto"/>
                        <w:bottom w:val="none" w:sz="0" w:space="0" w:color="auto"/>
                        <w:right w:val="none" w:sz="0" w:space="0" w:color="auto"/>
                      </w:divBdr>
                    </w:div>
                  </w:divsChild>
                </w:div>
                <w:div w:id="952709902">
                  <w:marLeft w:val="0"/>
                  <w:marRight w:val="0"/>
                  <w:marTop w:val="0"/>
                  <w:marBottom w:val="0"/>
                  <w:divBdr>
                    <w:top w:val="none" w:sz="0" w:space="0" w:color="auto"/>
                    <w:left w:val="none" w:sz="0" w:space="0" w:color="auto"/>
                    <w:bottom w:val="none" w:sz="0" w:space="0" w:color="auto"/>
                    <w:right w:val="none" w:sz="0" w:space="0" w:color="auto"/>
                  </w:divBdr>
                  <w:divsChild>
                    <w:div w:id="1534535397">
                      <w:marLeft w:val="0"/>
                      <w:marRight w:val="0"/>
                      <w:marTop w:val="0"/>
                      <w:marBottom w:val="0"/>
                      <w:divBdr>
                        <w:top w:val="none" w:sz="0" w:space="0" w:color="auto"/>
                        <w:left w:val="none" w:sz="0" w:space="0" w:color="auto"/>
                        <w:bottom w:val="none" w:sz="0" w:space="0" w:color="auto"/>
                        <w:right w:val="none" w:sz="0" w:space="0" w:color="auto"/>
                      </w:divBdr>
                    </w:div>
                  </w:divsChild>
                </w:div>
                <w:div w:id="980576122">
                  <w:marLeft w:val="0"/>
                  <w:marRight w:val="0"/>
                  <w:marTop w:val="0"/>
                  <w:marBottom w:val="0"/>
                  <w:divBdr>
                    <w:top w:val="none" w:sz="0" w:space="0" w:color="auto"/>
                    <w:left w:val="none" w:sz="0" w:space="0" w:color="auto"/>
                    <w:bottom w:val="none" w:sz="0" w:space="0" w:color="auto"/>
                    <w:right w:val="none" w:sz="0" w:space="0" w:color="auto"/>
                  </w:divBdr>
                  <w:divsChild>
                    <w:div w:id="274677679">
                      <w:marLeft w:val="0"/>
                      <w:marRight w:val="0"/>
                      <w:marTop w:val="0"/>
                      <w:marBottom w:val="0"/>
                      <w:divBdr>
                        <w:top w:val="none" w:sz="0" w:space="0" w:color="auto"/>
                        <w:left w:val="none" w:sz="0" w:space="0" w:color="auto"/>
                        <w:bottom w:val="none" w:sz="0" w:space="0" w:color="auto"/>
                        <w:right w:val="none" w:sz="0" w:space="0" w:color="auto"/>
                      </w:divBdr>
                    </w:div>
                  </w:divsChild>
                </w:div>
                <w:div w:id="993530993">
                  <w:marLeft w:val="0"/>
                  <w:marRight w:val="0"/>
                  <w:marTop w:val="0"/>
                  <w:marBottom w:val="0"/>
                  <w:divBdr>
                    <w:top w:val="none" w:sz="0" w:space="0" w:color="auto"/>
                    <w:left w:val="none" w:sz="0" w:space="0" w:color="auto"/>
                    <w:bottom w:val="none" w:sz="0" w:space="0" w:color="auto"/>
                    <w:right w:val="none" w:sz="0" w:space="0" w:color="auto"/>
                  </w:divBdr>
                  <w:divsChild>
                    <w:div w:id="653870690">
                      <w:marLeft w:val="0"/>
                      <w:marRight w:val="0"/>
                      <w:marTop w:val="0"/>
                      <w:marBottom w:val="0"/>
                      <w:divBdr>
                        <w:top w:val="none" w:sz="0" w:space="0" w:color="auto"/>
                        <w:left w:val="none" w:sz="0" w:space="0" w:color="auto"/>
                        <w:bottom w:val="none" w:sz="0" w:space="0" w:color="auto"/>
                        <w:right w:val="none" w:sz="0" w:space="0" w:color="auto"/>
                      </w:divBdr>
                    </w:div>
                  </w:divsChild>
                </w:div>
                <w:div w:id="1072629025">
                  <w:marLeft w:val="0"/>
                  <w:marRight w:val="0"/>
                  <w:marTop w:val="0"/>
                  <w:marBottom w:val="0"/>
                  <w:divBdr>
                    <w:top w:val="none" w:sz="0" w:space="0" w:color="auto"/>
                    <w:left w:val="none" w:sz="0" w:space="0" w:color="auto"/>
                    <w:bottom w:val="none" w:sz="0" w:space="0" w:color="auto"/>
                    <w:right w:val="none" w:sz="0" w:space="0" w:color="auto"/>
                  </w:divBdr>
                  <w:divsChild>
                    <w:div w:id="1642929799">
                      <w:marLeft w:val="0"/>
                      <w:marRight w:val="0"/>
                      <w:marTop w:val="0"/>
                      <w:marBottom w:val="0"/>
                      <w:divBdr>
                        <w:top w:val="none" w:sz="0" w:space="0" w:color="auto"/>
                        <w:left w:val="none" w:sz="0" w:space="0" w:color="auto"/>
                        <w:bottom w:val="none" w:sz="0" w:space="0" w:color="auto"/>
                        <w:right w:val="none" w:sz="0" w:space="0" w:color="auto"/>
                      </w:divBdr>
                    </w:div>
                  </w:divsChild>
                </w:div>
                <w:div w:id="1113860224">
                  <w:marLeft w:val="0"/>
                  <w:marRight w:val="0"/>
                  <w:marTop w:val="0"/>
                  <w:marBottom w:val="0"/>
                  <w:divBdr>
                    <w:top w:val="none" w:sz="0" w:space="0" w:color="auto"/>
                    <w:left w:val="none" w:sz="0" w:space="0" w:color="auto"/>
                    <w:bottom w:val="none" w:sz="0" w:space="0" w:color="auto"/>
                    <w:right w:val="none" w:sz="0" w:space="0" w:color="auto"/>
                  </w:divBdr>
                  <w:divsChild>
                    <w:div w:id="817573556">
                      <w:marLeft w:val="0"/>
                      <w:marRight w:val="0"/>
                      <w:marTop w:val="0"/>
                      <w:marBottom w:val="0"/>
                      <w:divBdr>
                        <w:top w:val="none" w:sz="0" w:space="0" w:color="auto"/>
                        <w:left w:val="none" w:sz="0" w:space="0" w:color="auto"/>
                        <w:bottom w:val="none" w:sz="0" w:space="0" w:color="auto"/>
                        <w:right w:val="none" w:sz="0" w:space="0" w:color="auto"/>
                      </w:divBdr>
                    </w:div>
                  </w:divsChild>
                </w:div>
                <w:div w:id="1125193731">
                  <w:marLeft w:val="0"/>
                  <w:marRight w:val="0"/>
                  <w:marTop w:val="0"/>
                  <w:marBottom w:val="0"/>
                  <w:divBdr>
                    <w:top w:val="none" w:sz="0" w:space="0" w:color="auto"/>
                    <w:left w:val="none" w:sz="0" w:space="0" w:color="auto"/>
                    <w:bottom w:val="none" w:sz="0" w:space="0" w:color="auto"/>
                    <w:right w:val="none" w:sz="0" w:space="0" w:color="auto"/>
                  </w:divBdr>
                  <w:divsChild>
                    <w:div w:id="410204389">
                      <w:marLeft w:val="0"/>
                      <w:marRight w:val="0"/>
                      <w:marTop w:val="0"/>
                      <w:marBottom w:val="0"/>
                      <w:divBdr>
                        <w:top w:val="none" w:sz="0" w:space="0" w:color="auto"/>
                        <w:left w:val="none" w:sz="0" w:space="0" w:color="auto"/>
                        <w:bottom w:val="none" w:sz="0" w:space="0" w:color="auto"/>
                        <w:right w:val="none" w:sz="0" w:space="0" w:color="auto"/>
                      </w:divBdr>
                    </w:div>
                  </w:divsChild>
                </w:div>
                <w:div w:id="1128164434">
                  <w:marLeft w:val="0"/>
                  <w:marRight w:val="0"/>
                  <w:marTop w:val="0"/>
                  <w:marBottom w:val="0"/>
                  <w:divBdr>
                    <w:top w:val="none" w:sz="0" w:space="0" w:color="auto"/>
                    <w:left w:val="none" w:sz="0" w:space="0" w:color="auto"/>
                    <w:bottom w:val="none" w:sz="0" w:space="0" w:color="auto"/>
                    <w:right w:val="none" w:sz="0" w:space="0" w:color="auto"/>
                  </w:divBdr>
                  <w:divsChild>
                    <w:div w:id="1026558044">
                      <w:marLeft w:val="0"/>
                      <w:marRight w:val="0"/>
                      <w:marTop w:val="0"/>
                      <w:marBottom w:val="0"/>
                      <w:divBdr>
                        <w:top w:val="none" w:sz="0" w:space="0" w:color="auto"/>
                        <w:left w:val="none" w:sz="0" w:space="0" w:color="auto"/>
                        <w:bottom w:val="none" w:sz="0" w:space="0" w:color="auto"/>
                        <w:right w:val="none" w:sz="0" w:space="0" w:color="auto"/>
                      </w:divBdr>
                    </w:div>
                  </w:divsChild>
                </w:div>
                <w:div w:id="1142698718">
                  <w:marLeft w:val="0"/>
                  <w:marRight w:val="0"/>
                  <w:marTop w:val="0"/>
                  <w:marBottom w:val="0"/>
                  <w:divBdr>
                    <w:top w:val="none" w:sz="0" w:space="0" w:color="auto"/>
                    <w:left w:val="none" w:sz="0" w:space="0" w:color="auto"/>
                    <w:bottom w:val="none" w:sz="0" w:space="0" w:color="auto"/>
                    <w:right w:val="none" w:sz="0" w:space="0" w:color="auto"/>
                  </w:divBdr>
                  <w:divsChild>
                    <w:div w:id="429467806">
                      <w:marLeft w:val="0"/>
                      <w:marRight w:val="0"/>
                      <w:marTop w:val="0"/>
                      <w:marBottom w:val="0"/>
                      <w:divBdr>
                        <w:top w:val="none" w:sz="0" w:space="0" w:color="auto"/>
                        <w:left w:val="none" w:sz="0" w:space="0" w:color="auto"/>
                        <w:bottom w:val="none" w:sz="0" w:space="0" w:color="auto"/>
                        <w:right w:val="none" w:sz="0" w:space="0" w:color="auto"/>
                      </w:divBdr>
                    </w:div>
                  </w:divsChild>
                </w:div>
                <w:div w:id="1326595116">
                  <w:marLeft w:val="0"/>
                  <w:marRight w:val="0"/>
                  <w:marTop w:val="0"/>
                  <w:marBottom w:val="0"/>
                  <w:divBdr>
                    <w:top w:val="none" w:sz="0" w:space="0" w:color="auto"/>
                    <w:left w:val="none" w:sz="0" w:space="0" w:color="auto"/>
                    <w:bottom w:val="none" w:sz="0" w:space="0" w:color="auto"/>
                    <w:right w:val="none" w:sz="0" w:space="0" w:color="auto"/>
                  </w:divBdr>
                  <w:divsChild>
                    <w:div w:id="928662191">
                      <w:marLeft w:val="0"/>
                      <w:marRight w:val="0"/>
                      <w:marTop w:val="0"/>
                      <w:marBottom w:val="0"/>
                      <w:divBdr>
                        <w:top w:val="none" w:sz="0" w:space="0" w:color="auto"/>
                        <w:left w:val="none" w:sz="0" w:space="0" w:color="auto"/>
                        <w:bottom w:val="none" w:sz="0" w:space="0" w:color="auto"/>
                        <w:right w:val="none" w:sz="0" w:space="0" w:color="auto"/>
                      </w:divBdr>
                    </w:div>
                  </w:divsChild>
                </w:div>
                <w:div w:id="1488473481">
                  <w:marLeft w:val="0"/>
                  <w:marRight w:val="0"/>
                  <w:marTop w:val="0"/>
                  <w:marBottom w:val="0"/>
                  <w:divBdr>
                    <w:top w:val="none" w:sz="0" w:space="0" w:color="auto"/>
                    <w:left w:val="none" w:sz="0" w:space="0" w:color="auto"/>
                    <w:bottom w:val="none" w:sz="0" w:space="0" w:color="auto"/>
                    <w:right w:val="none" w:sz="0" w:space="0" w:color="auto"/>
                  </w:divBdr>
                  <w:divsChild>
                    <w:div w:id="2019649075">
                      <w:marLeft w:val="0"/>
                      <w:marRight w:val="0"/>
                      <w:marTop w:val="0"/>
                      <w:marBottom w:val="0"/>
                      <w:divBdr>
                        <w:top w:val="none" w:sz="0" w:space="0" w:color="auto"/>
                        <w:left w:val="none" w:sz="0" w:space="0" w:color="auto"/>
                        <w:bottom w:val="none" w:sz="0" w:space="0" w:color="auto"/>
                        <w:right w:val="none" w:sz="0" w:space="0" w:color="auto"/>
                      </w:divBdr>
                    </w:div>
                  </w:divsChild>
                </w:div>
                <w:div w:id="1495490051">
                  <w:marLeft w:val="0"/>
                  <w:marRight w:val="0"/>
                  <w:marTop w:val="0"/>
                  <w:marBottom w:val="0"/>
                  <w:divBdr>
                    <w:top w:val="none" w:sz="0" w:space="0" w:color="auto"/>
                    <w:left w:val="none" w:sz="0" w:space="0" w:color="auto"/>
                    <w:bottom w:val="none" w:sz="0" w:space="0" w:color="auto"/>
                    <w:right w:val="none" w:sz="0" w:space="0" w:color="auto"/>
                  </w:divBdr>
                  <w:divsChild>
                    <w:div w:id="1468164042">
                      <w:marLeft w:val="0"/>
                      <w:marRight w:val="0"/>
                      <w:marTop w:val="0"/>
                      <w:marBottom w:val="0"/>
                      <w:divBdr>
                        <w:top w:val="none" w:sz="0" w:space="0" w:color="auto"/>
                        <w:left w:val="none" w:sz="0" w:space="0" w:color="auto"/>
                        <w:bottom w:val="none" w:sz="0" w:space="0" w:color="auto"/>
                        <w:right w:val="none" w:sz="0" w:space="0" w:color="auto"/>
                      </w:divBdr>
                    </w:div>
                  </w:divsChild>
                </w:div>
                <w:div w:id="1535851875">
                  <w:marLeft w:val="0"/>
                  <w:marRight w:val="0"/>
                  <w:marTop w:val="0"/>
                  <w:marBottom w:val="0"/>
                  <w:divBdr>
                    <w:top w:val="none" w:sz="0" w:space="0" w:color="auto"/>
                    <w:left w:val="none" w:sz="0" w:space="0" w:color="auto"/>
                    <w:bottom w:val="none" w:sz="0" w:space="0" w:color="auto"/>
                    <w:right w:val="none" w:sz="0" w:space="0" w:color="auto"/>
                  </w:divBdr>
                  <w:divsChild>
                    <w:div w:id="381683968">
                      <w:marLeft w:val="0"/>
                      <w:marRight w:val="0"/>
                      <w:marTop w:val="0"/>
                      <w:marBottom w:val="0"/>
                      <w:divBdr>
                        <w:top w:val="none" w:sz="0" w:space="0" w:color="auto"/>
                        <w:left w:val="none" w:sz="0" w:space="0" w:color="auto"/>
                        <w:bottom w:val="none" w:sz="0" w:space="0" w:color="auto"/>
                        <w:right w:val="none" w:sz="0" w:space="0" w:color="auto"/>
                      </w:divBdr>
                    </w:div>
                  </w:divsChild>
                </w:div>
                <w:div w:id="1563830766">
                  <w:marLeft w:val="0"/>
                  <w:marRight w:val="0"/>
                  <w:marTop w:val="0"/>
                  <w:marBottom w:val="0"/>
                  <w:divBdr>
                    <w:top w:val="none" w:sz="0" w:space="0" w:color="auto"/>
                    <w:left w:val="none" w:sz="0" w:space="0" w:color="auto"/>
                    <w:bottom w:val="none" w:sz="0" w:space="0" w:color="auto"/>
                    <w:right w:val="none" w:sz="0" w:space="0" w:color="auto"/>
                  </w:divBdr>
                  <w:divsChild>
                    <w:div w:id="1894736492">
                      <w:marLeft w:val="0"/>
                      <w:marRight w:val="0"/>
                      <w:marTop w:val="0"/>
                      <w:marBottom w:val="0"/>
                      <w:divBdr>
                        <w:top w:val="none" w:sz="0" w:space="0" w:color="auto"/>
                        <w:left w:val="none" w:sz="0" w:space="0" w:color="auto"/>
                        <w:bottom w:val="none" w:sz="0" w:space="0" w:color="auto"/>
                        <w:right w:val="none" w:sz="0" w:space="0" w:color="auto"/>
                      </w:divBdr>
                    </w:div>
                  </w:divsChild>
                </w:div>
                <w:div w:id="1569464376">
                  <w:marLeft w:val="0"/>
                  <w:marRight w:val="0"/>
                  <w:marTop w:val="0"/>
                  <w:marBottom w:val="0"/>
                  <w:divBdr>
                    <w:top w:val="none" w:sz="0" w:space="0" w:color="auto"/>
                    <w:left w:val="none" w:sz="0" w:space="0" w:color="auto"/>
                    <w:bottom w:val="none" w:sz="0" w:space="0" w:color="auto"/>
                    <w:right w:val="none" w:sz="0" w:space="0" w:color="auto"/>
                  </w:divBdr>
                  <w:divsChild>
                    <w:div w:id="1865316196">
                      <w:marLeft w:val="0"/>
                      <w:marRight w:val="0"/>
                      <w:marTop w:val="0"/>
                      <w:marBottom w:val="0"/>
                      <w:divBdr>
                        <w:top w:val="none" w:sz="0" w:space="0" w:color="auto"/>
                        <w:left w:val="none" w:sz="0" w:space="0" w:color="auto"/>
                        <w:bottom w:val="none" w:sz="0" w:space="0" w:color="auto"/>
                        <w:right w:val="none" w:sz="0" w:space="0" w:color="auto"/>
                      </w:divBdr>
                    </w:div>
                  </w:divsChild>
                </w:div>
                <w:div w:id="1573538043">
                  <w:marLeft w:val="0"/>
                  <w:marRight w:val="0"/>
                  <w:marTop w:val="0"/>
                  <w:marBottom w:val="0"/>
                  <w:divBdr>
                    <w:top w:val="none" w:sz="0" w:space="0" w:color="auto"/>
                    <w:left w:val="none" w:sz="0" w:space="0" w:color="auto"/>
                    <w:bottom w:val="none" w:sz="0" w:space="0" w:color="auto"/>
                    <w:right w:val="none" w:sz="0" w:space="0" w:color="auto"/>
                  </w:divBdr>
                  <w:divsChild>
                    <w:div w:id="594939977">
                      <w:marLeft w:val="0"/>
                      <w:marRight w:val="0"/>
                      <w:marTop w:val="0"/>
                      <w:marBottom w:val="0"/>
                      <w:divBdr>
                        <w:top w:val="none" w:sz="0" w:space="0" w:color="auto"/>
                        <w:left w:val="none" w:sz="0" w:space="0" w:color="auto"/>
                        <w:bottom w:val="none" w:sz="0" w:space="0" w:color="auto"/>
                        <w:right w:val="none" w:sz="0" w:space="0" w:color="auto"/>
                      </w:divBdr>
                    </w:div>
                  </w:divsChild>
                </w:div>
                <w:div w:id="1653369359">
                  <w:marLeft w:val="0"/>
                  <w:marRight w:val="0"/>
                  <w:marTop w:val="0"/>
                  <w:marBottom w:val="0"/>
                  <w:divBdr>
                    <w:top w:val="none" w:sz="0" w:space="0" w:color="auto"/>
                    <w:left w:val="none" w:sz="0" w:space="0" w:color="auto"/>
                    <w:bottom w:val="none" w:sz="0" w:space="0" w:color="auto"/>
                    <w:right w:val="none" w:sz="0" w:space="0" w:color="auto"/>
                  </w:divBdr>
                  <w:divsChild>
                    <w:div w:id="1024333211">
                      <w:marLeft w:val="0"/>
                      <w:marRight w:val="0"/>
                      <w:marTop w:val="0"/>
                      <w:marBottom w:val="0"/>
                      <w:divBdr>
                        <w:top w:val="none" w:sz="0" w:space="0" w:color="auto"/>
                        <w:left w:val="none" w:sz="0" w:space="0" w:color="auto"/>
                        <w:bottom w:val="none" w:sz="0" w:space="0" w:color="auto"/>
                        <w:right w:val="none" w:sz="0" w:space="0" w:color="auto"/>
                      </w:divBdr>
                    </w:div>
                  </w:divsChild>
                </w:div>
                <w:div w:id="1854224231">
                  <w:marLeft w:val="0"/>
                  <w:marRight w:val="0"/>
                  <w:marTop w:val="0"/>
                  <w:marBottom w:val="0"/>
                  <w:divBdr>
                    <w:top w:val="none" w:sz="0" w:space="0" w:color="auto"/>
                    <w:left w:val="none" w:sz="0" w:space="0" w:color="auto"/>
                    <w:bottom w:val="none" w:sz="0" w:space="0" w:color="auto"/>
                    <w:right w:val="none" w:sz="0" w:space="0" w:color="auto"/>
                  </w:divBdr>
                  <w:divsChild>
                    <w:div w:id="1720324056">
                      <w:marLeft w:val="0"/>
                      <w:marRight w:val="0"/>
                      <w:marTop w:val="0"/>
                      <w:marBottom w:val="0"/>
                      <w:divBdr>
                        <w:top w:val="none" w:sz="0" w:space="0" w:color="auto"/>
                        <w:left w:val="none" w:sz="0" w:space="0" w:color="auto"/>
                        <w:bottom w:val="none" w:sz="0" w:space="0" w:color="auto"/>
                        <w:right w:val="none" w:sz="0" w:space="0" w:color="auto"/>
                      </w:divBdr>
                    </w:div>
                  </w:divsChild>
                </w:div>
                <w:div w:id="1919900316">
                  <w:marLeft w:val="0"/>
                  <w:marRight w:val="0"/>
                  <w:marTop w:val="0"/>
                  <w:marBottom w:val="0"/>
                  <w:divBdr>
                    <w:top w:val="none" w:sz="0" w:space="0" w:color="auto"/>
                    <w:left w:val="none" w:sz="0" w:space="0" w:color="auto"/>
                    <w:bottom w:val="none" w:sz="0" w:space="0" w:color="auto"/>
                    <w:right w:val="none" w:sz="0" w:space="0" w:color="auto"/>
                  </w:divBdr>
                  <w:divsChild>
                    <w:div w:id="260065755">
                      <w:marLeft w:val="0"/>
                      <w:marRight w:val="0"/>
                      <w:marTop w:val="0"/>
                      <w:marBottom w:val="0"/>
                      <w:divBdr>
                        <w:top w:val="none" w:sz="0" w:space="0" w:color="auto"/>
                        <w:left w:val="none" w:sz="0" w:space="0" w:color="auto"/>
                        <w:bottom w:val="none" w:sz="0" w:space="0" w:color="auto"/>
                        <w:right w:val="none" w:sz="0" w:space="0" w:color="auto"/>
                      </w:divBdr>
                    </w:div>
                  </w:divsChild>
                </w:div>
                <w:div w:id="1942644204">
                  <w:marLeft w:val="0"/>
                  <w:marRight w:val="0"/>
                  <w:marTop w:val="0"/>
                  <w:marBottom w:val="0"/>
                  <w:divBdr>
                    <w:top w:val="none" w:sz="0" w:space="0" w:color="auto"/>
                    <w:left w:val="none" w:sz="0" w:space="0" w:color="auto"/>
                    <w:bottom w:val="none" w:sz="0" w:space="0" w:color="auto"/>
                    <w:right w:val="none" w:sz="0" w:space="0" w:color="auto"/>
                  </w:divBdr>
                  <w:divsChild>
                    <w:div w:id="305555273">
                      <w:marLeft w:val="0"/>
                      <w:marRight w:val="0"/>
                      <w:marTop w:val="0"/>
                      <w:marBottom w:val="0"/>
                      <w:divBdr>
                        <w:top w:val="none" w:sz="0" w:space="0" w:color="auto"/>
                        <w:left w:val="none" w:sz="0" w:space="0" w:color="auto"/>
                        <w:bottom w:val="none" w:sz="0" w:space="0" w:color="auto"/>
                        <w:right w:val="none" w:sz="0" w:space="0" w:color="auto"/>
                      </w:divBdr>
                    </w:div>
                  </w:divsChild>
                </w:div>
                <w:div w:id="1963462905">
                  <w:marLeft w:val="0"/>
                  <w:marRight w:val="0"/>
                  <w:marTop w:val="0"/>
                  <w:marBottom w:val="0"/>
                  <w:divBdr>
                    <w:top w:val="none" w:sz="0" w:space="0" w:color="auto"/>
                    <w:left w:val="none" w:sz="0" w:space="0" w:color="auto"/>
                    <w:bottom w:val="none" w:sz="0" w:space="0" w:color="auto"/>
                    <w:right w:val="none" w:sz="0" w:space="0" w:color="auto"/>
                  </w:divBdr>
                  <w:divsChild>
                    <w:div w:id="276302154">
                      <w:marLeft w:val="0"/>
                      <w:marRight w:val="0"/>
                      <w:marTop w:val="0"/>
                      <w:marBottom w:val="0"/>
                      <w:divBdr>
                        <w:top w:val="none" w:sz="0" w:space="0" w:color="auto"/>
                        <w:left w:val="none" w:sz="0" w:space="0" w:color="auto"/>
                        <w:bottom w:val="none" w:sz="0" w:space="0" w:color="auto"/>
                        <w:right w:val="none" w:sz="0" w:space="0" w:color="auto"/>
                      </w:divBdr>
                    </w:div>
                  </w:divsChild>
                </w:div>
                <w:div w:id="1998997814">
                  <w:marLeft w:val="0"/>
                  <w:marRight w:val="0"/>
                  <w:marTop w:val="0"/>
                  <w:marBottom w:val="0"/>
                  <w:divBdr>
                    <w:top w:val="none" w:sz="0" w:space="0" w:color="auto"/>
                    <w:left w:val="none" w:sz="0" w:space="0" w:color="auto"/>
                    <w:bottom w:val="none" w:sz="0" w:space="0" w:color="auto"/>
                    <w:right w:val="none" w:sz="0" w:space="0" w:color="auto"/>
                  </w:divBdr>
                  <w:divsChild>
                    <w:div w:id="1029647086">
                      <w:marLeft w:val="0"/>
                      <w:marRight w:val="0"/>
                      <w:marTop w:val="0"/>
                      <w:marBottom w:val="0"/>
                      <w:divBdr>
                        <w:top w:val="none" w:sz="0" w:space="0" w:color="auto"/>
                        <w:left w:val="none" w:sz="0" w:space="0" w:color="auto"/>
                        <w:bottom w:val="none" w:sz="0" w:space="0" w:color="auto"/>
                        <w:right w:val="none" w:sz="0" w:space="0" w:color="auto"/>
                      </w:divBdr>
                    </w:div>
                  </w:divsChild>
                </w:div>
                <w:div w:id="2131585797">
                  <w:marLeft w:val="0"/>
                  <w:marRight w:val="0"/>
                  <w:marTop w:val="0"/>
                  <w:marBottom w:val="0"/>
                  <w:divBdr>
                    <w:top w:val="none" w:sz="0" w:space="0" w:color="auto"/>
                    <w:left w:val="none" w:sz="0" w:space="0" w:color="auto"/>
                    <w:bottom w:val="none" w:sz="0" w:space="0" w:color="auto"/>
                    <w:right w:val="none" w:sz="0" w:space="0" w:color="auto"/>
                  </w:divBdr>
                  <w:divsChild>
                    <w:div w:id="16150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698488">
          <w:marLeft w:val="0"/>
          <w:marRight w:val="0"/>
          <w:marTop w:val="0"/>
          <w:marBottom w:val="0"/>
          <w:divBdr>
            <w:top w:val="none" w:sz="0" w:space="0" w:color="auto"/>
            <w:left w:val="none" w:sz="0" w:space="0" w:color="auto"/>
            <w:bottom w:val="none" w:sz="0" w:space="0" w:color="auto"/>
            <w:right w:val="none" w:sz="0" w:space="0" w:color="auto"/>
          </w:divBdr>
          <w:divsChild>
            <w:div w:id="310908244">
              <w:marLeft w:val="0"/>
              <w:marRight w:val="0"/>
              <w:marTop w:val="0"/>
              <w:marBottom w:val="0"/>
              <w:divBdr>
                <w:top w:val="none" w:sz="0" w:space="0" w:color="auto"/>
                <w:left w:val="none" w:sz="0" w:space="0" w:color="auto"/>
                <w:bottom w:val="none" w:sz="0" w:space="0" w:color="auto"/>
                <w:right w:val="none" w:sz="0" w:space="0" w:color="auto"/>
              </w:divBdr>
            </w:div>
          </w:divsChild>
        </w:div>
        <w:div w:id="1148941094">
          <w:marLeft w:val="0"/>
          <w:marRight w:val="0"/>
          <w:marTop w:val="0"/>
          <w:marBottom w:val="0"/>
          <w:divBdr>
            <w:top w:val="none" w:sz="0" w:space="0" w:color="auto"/>
            <w:left w:val="none" w:sz="0" w:space="0" w:color="auto"/>
            <w:bottom w:val="none" w:sz="0" w:space="0" w:color="auto"/>
            <w:right w:val="none" w:sz="0" w:space="0" w:color="auto"/>
          </w:divBdr>
        </w:div>
        <w:div w:id="1150974837">
          <w:marLeft w:val="0"/>
          <w:marRight w:val="0"/>
          <w:marTop w:val="0"/>
          <w:marBottom w:val="0"/>
          <w:divBdr>
            <w:top w:val="none" w:sz="0" w:space="0" w:color="auto"/>
            <w:left w:val="none" w:sz="0" w:space="0" w:color="auto"/>
            <w:bottom w:val="none" w:sz="0" w:space="0" w:color="auto"/>
            <w:right w:val="none" w:sz="0" w:space="0" w:color="auto"/>
          </w:divBdr>
        </w:div>
        <w:div w:id="1167327594">
          <w:marLeft w:val="0"/>
          <w:marRight w:val="0"/>
          <w:marTop w:val="0"/>
          <w:marBottom w:val="0"/>
          <w:divBdr>
            <w:top w:val="none" w:sz="0" w:space="0" w:color="auto"/>
            <w:left w:val="none" w:sz="0" w:space="0" w:color="auto"/>
            <w:bottom w:val="none" w:sz="0" w:space="0" w:color="auto"/>
            <w:right w:val="none" w:sz="0" w:space="0" w:color="auto"/>
          </w:divBdr>
        </w:div>
        <w:div w:id="1170632116">
          <w:marLeft w:val="0"/>
          <w:marRight w:val="0"/>
          <w:marTop w:val="0"/>
          <w:marBottom w:val="0"/>
          <w:divBdr>
            <w:top w:val="none" w:sz="0" w:space="0" w:color="auto"/>
            <w:left w:val="none" w:sz="0" w:space="0" w:color="auto"/>
            <w:bottom w:val="none" w:sz="0" w:space="0" w:color="auto"/>
            <w:right w:val="none" w:sz="0" w:space="0" w:color="auto"/>
          </w:divBdr>
        </w:div>
        <w:div w:id="1177960486">
          <w:marLeft w:val="0"/>
          <w:marRight w:val="0"/>
          <w:marTop w:val="0"/>
          <w:marBottom w:val="0"/>
          <w:divBdr>
            <w:top w:val="none" w:sz="0" w:space="0" w:color="auto"/>
            <w:left w:val="none" w:sz="0" w:space="0" w:color="auto"/>
            <w:bottom w:val="none" w:sz="0" w:space="0" w:color="auto"/>
            <w:right w:val="none" w:sz="0" w:space="0" w:color="auto"/>
          </w:divBdr>
        </w:div>
        <w:div w:id="1179731098">
          <w:marLeft w:val="0"/>
          <w:marRight w:val="0"/>
          <w:marTop w:val="0"/>
          <w:marBottom w:val="0"/>
          <w:divBdr>
            <w:top w:val="none" w:sz="0" w:space="0" w:color="auto"/>
            <w:left w:val="none" w:sz="0" w:space="0" w:color="auto"/>
            <w:bottom w:val="none" w:sz="0" w:space="0" w:color="auto"/>
            <w:right w:val="none" w:sz="0" w:space="0" w:color="auto"/>
          </w:divBdr>
        </w:div>
        <w:div w:id="1189224398">
          <w:marLeft w:val="0"/>
          <w:marRight w:val="0"/>
          <w:marTop w:val="0"/>
          <w:marBottom w:val="0"/>
          <w:divBdr>
            <w:top w:val="none" w:sz="0" w:space="0" w:color="auto"/>
            <w:left w:val="none" w:sz="0" w:space="0" w:color="auto"/>
            <w:bottom w:val="none" w:sz="0" w:space="0" w:color="auto"/>
            <w:right w:val="none" w:sz="0" w:space="0" w:color="auto"/>
          </w:divBdr>
        </w:div>
        <w:div w:id="1198930405">
          <w:marLeft w:val="0"/>
          <w:marRight w:val="0"/>
          <w:marTop w:val="0"/>
          <w:marBottom w:val="0"/>
          <w:divBdr>
            <w:top w:val="none" w:sz="0" w:space="0" w:color="auto"/>
            <w:left w:val="none" w:sz="0" w:space="0" w:color="auto"/>
            <w:bottom w:val="none" w:sz="0" w:space="0" w:color="auto"/>
            <w:right w:val="none" w:sz="0" w:space="0" w:color="auto"/>
          </w:divBdr>
        </w:div>
        <w:div w:id="1200629206">
          <w:marLeft w:val="0"/>
          <w:marRight w:val="0"/>
          <w:marTop w:val="0"/>
          <w:marBottom w:val="0"/>
          <w:divBdr>
            <w:top w:val="none" w:sz="0" w:space="0" w:color="auto"/>
            <w:left w:val="none" w:sz="0" w:space="0" w:color="auto"/>
            <w:bottom w:val="none" w:sz="0" w:space="0" w:color="auto"/>
            <w:right w:val="none" w:sz="0" w:space="0" w:color="auto"/>
          </w:divBdr>
        </w:div>
        <w:div w:id="1200775150">
          <w:marLeft w:val="0"/>
          <w:marRight w:val="0"/>
          <w:marTop w:val="0"/>
          <w:marBottom w:val="0"/>
          <w:divBdr>
            <w:top w:val="none" w:sz="0" w:space="0" w:color="auto"/>
            <w:left w:val="none" w:sz="0" w:space="0" w:color="auto"/>
            <w:bottom w:val="none" w:sz="0" w:space="0" w:color="auto"/>
            <w:right w:val="none" w:sz="0" w:space="0" w:color="auto"/>
          </w:divBdr>
        </w:div>
        <w:div w:id="1202015151">
          <w:marLeft w:val="0"/>
          <w:marRight w:val="0"/>
          <w:marTop w:val="0"/>
          <w:marBottom w:val="0"/>
          <w:divBdr>
            <w:top w:val="none" w:sz="0" w:space="0" w:color="auto"/>
            <w:left w:val="none" w:sz="0" w:space="0" w:color="auto"/>
            <w:bottom w:val="none" w:sz="0" w:space="0" w:color="auto"/>
            <w:right w:val="none" w:sz="0" w:space="0" w:color="auto"/>
          </w:divBdr>
        </w:div>
        <w:div w:id="1213007689">
          <w:marLeft w:val="0"/>
          <w:marRight w:val="0"/>
          <w:marTop w:val="0"/>
          <w:marBottom w:val="0"/>
          <w:divBdr>
            <w:top w:val="none" w:sz="0" w:space="0" w:color="auto"/>
            <w:left w:val="none" w:sz="0" w:space="0" w:color="auto"/>
            <w:bottom w:val="none" w:sz="0" w:space="0" w:color="auto"/>
            <w:right w:val="none" w:sz="0" w:space="0" w:color="auto"/>
          </w:divBdr>
          <w:divsChild>
            <w:div w:id="200674323">
              <w:marLeft w:val="0"/>
              <w:marRight w:val="0"/>
              <w:marTop w:val="0"/>
              <w:marBottom w:val="0"/>
              <w:divBdr>
                <w:top w:val="none" w:sz="0" w:space="0" w:color="auto"/>
                <w:left w:val="none" w:sz="0" w:space="0" w:color="auto"/>
                <w:bottom w:val="none" w:sz="0" w:space="0" w:color="auto"/>
                <w:right w:val="none" w:sz="0" w:space="0" w:color="auto"/>
              </w:divBdr>
            </w:div>
            <w:div w:id="1288660852">
              <w:marLeft w:val="0"/>
              <w:marRight w:val="0"/>
              <w:marTop w:val="0"/>
              <w:marBottom w:val="0"/>
              <w:divBdr>
                <w:top w:val="none" w:sz="0" w:space="0" w:color="auto"/>
                <w:left w:val="none" w:sz="0" w:space="0" w:color="auto"/>
                <w:bottom w:val="none" w:sz="0" w:space="0" w:color="auto"/>
                <w:right w:val="none" w:sz="0" w:space="0" w:color="auto"/>
              </w:divBdr>
            </w:div>
            <w:div w:id="1322006481">
              <w:marLeft w:val="0"/>
              <w:marRight w:val="0"/>
              <w:marTop w:val="0"/>
              <w:marBottom w:val="0"/>
              <w:divBdr>
                <w:top w:val="none" w:sz="0" w:space="0" w:color="auto"/>
                <w:left w:val="none" w:sz="0" w:space="0" w:color="auto"/>
                <w:bottom w:val="none" w:sz="0" w:space="0" w:color="auto"/>
                <w:right w:val="none" w:sz="0" w:space="0" w:color="auto"/>
              </w:divBdr>
            </w:div>
            <w:div w:id="1411585057">
              <w:marLeft w:val="0"/>
              <w:marRight w:val="0"/>
              <w:marTop w:val="0"/>
              <w:marBottom w:val="0"/>
              <w:divBdr>
                <w:top w:val="none" w:sz="0" w:space="0" w:color="auto"/>
                <w:left w:val="none" w:sz="0" w:space="0" w:color="auto"/>
                <w:bottom w:val="none" w:sz="0" w:space="0" w:color="auto"/>
                <w:right w:val="none" w:sz="0" w:space="0" w:color="auto"/>
              </w:divBdr>
            </w:div>
            <w:div w:id="2099986168">
              <w:marLeft w:val="0"/>
              <w:marRight w:val="0"/>
              <w:marTop w:val="0"/>
              <w:marBottom w:val="0"/>
              <w:divBdr>
                <w:top w:val="none" w:sz="0" w:space="0" w:color="auto"/>
                <w:left w:val="none" w:sz="0" w:space="0" w:color="auto"/>
                <w:bottom w:val="none" w:sz="0" w:space="0" w:color="auto"/>
                <w:right w:val="none" w:sz="0" w:space="0" w:color="auto"/>
              </w:divBdr>
            </w:div>
          </w:divsChild>
        </w:div>
        <w:div w:id="1227689786">
          <w:marLeft w:val="0"/>
          <w:marRight w:val="0"/>
          <w:marTop w:val="0"/>
          <w:marBottom w:val="0"/>
          <w:divBdr>
            <w:top w:val="none" w:sz="0" w:space="0" w:color="auto"/>
            <w:left w:val="none" w:sz="0" w:space="0" w:color="auto"/>
            <w:bottom w:val="none" w:sz="0" w:space="0" w:color="auto"/>
            <w:right w:val="none" w:sz="0" w:space="0" w:color="auto"/>
          </w:divBdr>
          <w:divsChild>
            <w:div w:id="1033849877">
              <w:marLeft w:val="0"/>
              <w:marRight w:val="0"/>
              <w:marTop w:val="0"/>
              <w:marBottom w:val="0"/>
              <w:divBdr>
                <w:top w:val="none" w:sz="0" w:space="0" w:color="auto"/>
                <w:left w:val="none" w:sz="0" w:space="0" w:color="auto"/>
                <w:bottom w:val="none" w:sz="0" w:space="0" w:color="auto"/>
                <w:right w:val="none" w:sz="0" w:space="0" w:color="auto"/>
              </w:divBdr>
            </w:div>
            <w:div w:id="1392924544">
              <w:marLeft w:val="0"/>
              <w:marRight w:val="0"/>
              <w:marTop w:val="0"/>
              <w:marBottom w:val="0"/>
              <w:divBdr>
                <w:top w:val="none" w:sz="0" w:space="0" w:color="auto"/>
                <w:left w:val="none" w:sz="0" w:space="0" w:color="auto"/>
                <w:bottom w:val="none" w:sz="0" w:space="0" w:color="auto"/>
                <w:right w:val="none" w:sz="0" w:space="0" w:color="auto"/>
              </w:divBdr>
            </w:div>
            <w:div w:id="1524318544">
              <w:marLeft w:val="0"/>
              <w:marRight w:val="0"/>
              <w:marTop w:val="0"/>
              <w:marBottom w:val="0"/>
              <w:divBdr>
                <w:top w:val="none" w:sz="0" w:space="0" w:color="auto"/>
                <w:left w:val="none" w:sz="0" w:space="0" w:color="auto"/>
                <w:bottom w:val="none" w:sz="0" w:space="0" w:color="auto"/>
                <w:right w:val="none" w:sz="0" w:space="0" w:color="auto"/>
              </w:divBdr>
            </w:div>
            <w:div w:id="1582762186">
              <w:marLeft w:val="0"/>
              <w:marRight w:val="0"/>
              <w:marTop w:val="0"/>
              <w:marBottom w:val="0"/>
              <w:divBdr>
                <w:top w:val="none" w:sz="0" w:space="0" w:color="auto"/>
                <w:left w:val="none" w:sz="0" w:space="0" w:color="auto"/>
                <w:bottom w:val="none" w:sz="0" w:space="0" w:color="auto"/>
                <w:right w:val="none" w:sz="0" w:space="0" w:color="auto"/>
              </w:divBdr>
            </w:div>
            <w:div w:id="2074814021">
              <w:marLeft w:val="0"/>
              <w:marRight w:val="0"/>
              <w:marTop w:val="0"/>
              <w:marBottom w:val="0"/>
              <w:divBdr>
                <w:top w:val="none" w:sz="0" w:space="0" w:color="auto"/>
                <w:left w:val="none" w:sz="0" w:space="0" w:color="auto"/>
                <w:bottom w:val="none" w:sz="0" w:space="0" w:color="auto"/>
                <w:right w:val="none" w:sz="0" w:space="0" w:color="auto"/>
              </w:divBdr>
            </w:div>
          </w:divsChild>
        </w:div>
        <w:div w:id="1235772865">
          <w:marLeft w:val="0"/>
          <w:marRight w:val="0"/>
          <w:marTop w:val="0"/>
          <w:marBottom w:val="0"/>
          <w:divBdr>
            <w:top w:val="none" w:sz="0" w:space="0" w:color="auto"/>
            <w:left w:val="none" w:sz="0" w:space="0" w:color="auto"/>
            <w:bottom w:val="none" w:sz="0" w:space="0" w:color="auto"/>
            <w:right w:val="none" w:sz="0" w:space="0" w:color="auto"/>
          </w:divBdr>
        </w:div>
        <w:div w:id="1237939123">
          <w:marLeft w:val="0"/>
          <w:marRight w:val="0"/>
          <w:marTop w:val="0"/>
          <w:marBottom w:val="0"/>
          <w:divBdr>
            <w:top w:val="none" w:sz="0" w:space="0" w:color="auto"/>
            <w:left w:val="none" w:sz="0" w:space="0" w:color="auto"/>
            <w:bottom w:val="none" w:sz="0" w:space="0" w:color="auto"/>
            <w:right w:val="none" w:sz="0" w:space="0" w:color="auto"/>
          </w:divBdr>
        </w:div>
        <w:div w:id="1242955814">
          <w:marLeft w:val="0"/>
          <w:marRight w:val="0"/>
          <w:marTop w:val="0"/>
          <w:marBottom w:val="0"/>
          <w:divBdr>
            <w:top w:val="none" w:sz="0" w:space="0" w:color="auto"/>
            <w:left w:val="none" w:sz="0" w:space="0" w:color="auto"/>
            <w:bottom w:val="none" w:sz="0" w:space="0" w:color="auto"/>
            <w:right w:val="none" w:sz="0" w:space="0" w:color="auto"/>
          </w:divBdr>
        </w:div>
        <w:div w:id="1249191588">
          <w:marLeft w:val="0"/>
          <w:marRight w:val="0"/>
          <w:marTop w:val="0"/>
          <w:marBottom w:val="0"/>
          <w:divBdr>
            <w:top w:val="none" w:sz="0" w:space="0" w:color="auto"/>
            <w:left w:val="none" w:sz="0" w:space="0" w:color="auto"/>
            <w:bottom w:val="none" w:sz="0" w:space="0" w:color="auto"/>
            <w:right w:val="none" w:sz="0" w:space="0" w:color="auto"/>
          </w:divBdr>
        </w:div>
        <w:div w:id="1255212404">
          <w:marLeft w:val="0"/>
          <w:marRight w:val="0"/>
          <w:marTop w:val="0"/>
          <w:marBottom w:val="0"/>
          <w:divBdr>
            <w:top w:val="none" w:sz="0" w:space="0" w:color="auto"/>
            <w:left w:val="none" w:sz="0" w:space="0" w:color="auto"/>
            <w:bottom w:val="none" w:sz="0" w:space="0" w:color="auto"/>
            <w:right w:val="none" w:sz="0" w:space="0" w:color="auto"/>
          </w:divBdr>
        </w:div>
        <w:div w:id="1271087197">
          <w:marLeft w:val="0"/>
          <w:marRight w:val="0"/>
          <w:marTop w:val="0"/>
          <w:marBottom w:val="0"/>
          <w:divBdr>
            <w:top w:val="none" w:sz="0" w:space="0" w:color="auto"/>
            <w:left w:val="none" w:sz="0" w:space="0" w:color="auto"/>
            <w:bottom w:val="none" w:sz="0" w:space="0" w:color="auto"/>
            <w:right w:val="none" w:sz="0" w:space="0" w:color="auto"/>
          </w:divBdr>
          <w:divsChild>
            <w:div w:id="414208942">
              <w:marLeft w:val="0"/>
              <w:marRight w:val="0"/>
              <w:marTop w:val="0"/>
              <w:marBottom w:val="0"/>
              <w:divBdr>
                <w:top w:val="none" w:sz="0" w:space="0" w:color="auto"/>
                <w:left w:val="none" w:sz="0" w:space="0" w:color="auto"/>
                <w:bottom w:val="none" w:sz="0" w:space="0" w:color="auto"/>
                <w:right w:val="none" w:sz="0" w:space="0" w:color="auto"/>
              </w:divBdr>
            </w:div>
            <w:div w:id="892930771">
              <w:marLeft w:val="0"/>
              <w:marRight w:val="0"/>
              <w:marTop w:val="0"/>
              <w:marBottom w:val="0"/>
              <w:divBdr>
                <w:top w:val="none" w:sz="0" w:space="0" w:color="auto"/>
                <w:left w:val="none" w:sz="0" w:space="0" w:color="auto"/>
                <w:bottom w:val="none" w:sz="0" w:space="0" w:color="auto"/>
                <w:right w:val="none" w:sz="0" w:space="0" w:color="auto"/>
              </w:divBdr>
            </w:div>
            <w:div w:id="1391267891">
              <w:marLeft w:val="0"/>
              <w:marRight w:val="0"/>
              <w:marTop w:val="0"/>
              <w:marBottom w:val="0"/>
              <w:divBdr>
                <w:top w:val="none" w:sz="0" w:space="0" w:color="auto"/>
                <w:left w:val="none" w:sz="0" w:space="0" w:color="auto"/>
                <w:bottom w:val="none" w:sz="0" w:space="0" w:color="auto"/>
                <w:right w:val="none" w:sz="0" w:space="0" w:color="auto"/>
              </w:divBdr>
            </w:div>
          </w:divsChild>
        </w:div>
        <w:div w:id="1290239820">
          <w:marLeft w:val="0"/>
          <w:marRight w:val="0"/>
          <w:marTop w:val="0"/>
          <w:marBottom w:val="0"/>
          <w:divBdr>
            <w:top w:val="none" w:sz="0" w:space="0" w:color="auto"/>
            <w:left w:val="none" w:sz="0" w:space="0" w:color="auto"/>
            <w:bottom w:val="none" w:sz="0" w:space="0" w:color="auto"/>
            <w:right w:val="none" w:sz="0" w:space="0" w:color="auto"/>
          </w:divBdr>
        </w:div>
        <w:div w:id="1292588706">
          <w:marLeft w:val="0"/>
          <w:marRight w:val="0"/>
          <w:marTop w:val="0"/>
          <w:marBottom w:val="0"/>
          <w:divBdr>
            <w:top w:val="none" w:sz="0" w:space="0" w:color="auto"/>
            <w:left w:val="none" w:sz="0" w:space="0" w:color="auto"/>
            <w:bottom w:val="none" w:sz="0" w:space="0" w:color="auto"/>
            <w:right w:val="none" w:sz="0" w:space="0" w:color="auto"/>
          </w:divBdr>
          <w:divsChild>
            <w:div w:id="313532159">
              <w:marLeft w:val="0"/>
              <w:marRight w:val="0"/>
              <w:marTop w:val="0"/>
              <w:marBottom w:val="0"/>
              <w:divBdr>
                <w:top w:val="none" w:sz="0" w:space="0" w:color="auto"/>
                <w:left w:val="none" w:sz="0" w:space="0" w:color="auto"/>
                <w:bottom w:val="none" w:sz="0" w:space="0" w:color="auto"/>
                <w:right w:val="none" w:sz="0" w:space="0" w:color="auto"/>
              </w:divBdr>
            </w:div>
            <w:div w:id="891229237">
              <w:marLeft w:val="0"/>
              <w:marRight w:val="0"/>
              <w:marTop w:val="0"/>
              <w:marBottom w:val="0"/>
              <w:divBdr>
                <w:top w:val="none" w:sz="0" w:space="0" w:color="auto"/>
                <w:left w:val="none" w:sz="0" w:space="0" w:color="auto"/>
                <w:bottom w:val="none" w:sz="0" w:space="0" w:color="auto"/>
                <w:right w:val="none" w:sz="0" w:space="0" w:color="auto"/>
              </w:divBdr>
            </w:div>
            <w:div w:id="945691322">
              <w:marLeft w:val="0"/>
              <w:marRight w:val="0"/>
              <w:marTop w:val="0"/>
              <w:marBottom w:val="0"/>
              <w:divBdr>
                <w:top w:val="none" w:sz="0" w:space="0" w:color="auto"/>
                <w:left w:val="none" w:sz="0" w:space="0" w:color="auto"/>
                <w:bottom w:val="none" w:sz="0" w:space="0" w:color="auto"/>
                <w:right w:val="none" w:sz="0" w:space="0" w:color="auto"/>
              </w:divBdr>
            </w:div>
            <w:div w:id="1583442539">
              <w:marLeft w:val="0"/>
              <w:marRight w:val="0"/>
              <w:marTop w:val="0"/>
              <w:marBottom w:val="0"/>
              <w:divBdr>
                <w:top w:val="none" w:sz="0" w:space="0" w:color="auto"/>
                <w:left w:val="none" w:sz="0" w:space="0" w:color="auto"/>
                <w:bottom w:val="none" w:sz="0" w:space="0" w:color="auto"/>
                <w:right w:val="none" w:sz="0" w:space="0" w:color="auto"/>
              </w:divBdr>
            </w:div>
            <w:div w:id="1724793688">
              <w:marLeft w:val="0"/>
              <w:marRight w:val="0"/>
              <w:marTop w:val="0"/>
              <w:marBottom w:val="0"/>
              <w:divBdr>
                <w:top w:val="none" w:sz="0" w:space="0" w:color="auto"/>
                <w:left w:val="none" w:sz="0" w:space="0" w:color="auto"/>
                <w:bottom w:val="none" w:sz="0" w:space="0" w:color="auto"/>
                <w:right w:val="none" w:sz="0" w:space="0" w:color="auto"/>
              </w:divBdr>
            </w:div>
          </w:divsChild>
        </w:div>
        <w:div w:id="1308703297">
          <w:marLeft w:val="0"/>
          <w:marRight w:val="0"/>
          <w:marTop w:val="0"/>
          <w:marBottom w:val="0"/>
          <w:divBdr>
            <w:top w:val="none" w:sz="0" w:space="0" w:color="auto"/>
            <w:left w:val="none" w:sz="0" w:space="0" w:color="auto"/>
            <w:bottom w:val="none" w:sz="0" w:space="0" w:color="auto"/>
            <w:right w:val="none" w:sz="0" w:space="0" w:color="auto"/>
          </w:divBdr>
        </w:div>
        <w:div w:id="1325888865">
          <w:marLeft w:val="0"/>
          <w:marRight w:val="0"/>
          <w:marTop w:val="0"/>
          <w:marBottom w:val="0"/>
          <w:divBdr>
            <w:top w:val="none" w:sz="0" w:space="0" w:color="auto"/>
            <w:left w:val="none" w:sz="0" w:space="0" w:color="auto"/>
            <w:bottom w:val="none" w:sz="0" w:space="0" w:color="auto"/>
            <w:right w:val="none" w:sz="0" w:space="0" w:color="auto"/>
          </w:divBdr>
        </w:div>
        <w:div w:id="1333945408">
          <w:marLeft w:val="0"/>
          <w:marRight w:val="0"/>
          <w:marTop w:val="0"/>
          <w:marBottom w:val="0"/>
          <w:divBdr>
            <w:top w:val="none" w:sz="0" w:space="0" w:color="auto"/>
            <w:left w:val="none" w:sz="0" w:space="0" w:color="auto"/>
            <w:bottom w:val="none" w:sz="0" w:space="0" w:color="auto"/>
            <w:right w:val="none" w:sz="0" w:space="0" w:color="auto"/>
          </w:divBdr>
        </w:div>
        <w:div w:id="1353190959">
          <w:marLeft w:val="0"/>
          <w:marRight w:val="0"/>
          <w:marTop w:val="0"/>
          <w:marBottom w:val="0"/>
          <w:divBdr>
            <w:top w:val="none" w:sz="0" w:space="0" w:color="auto"/>
            <w:left w:val="none" w:sz="0" w:space="0" w:color="auto"/>
            <w:bottom w:val="none" w:sz="0" w:space="0" w:color="auto"/>
            <w:right w:val="none" w:sz="0" w:space="0" w:color="auto"/>
          </w:divBdr>
        </w:div>
        <w:div w:id="1354264153">
          <w:marLeft w:val="0"/>
          <w:marRight w:val="0"/>
          <w:marTop w:val="0"/>
          <w:marBottom w:val="0"/>
          <w:divBdr>
            <w:top w:val="none" w:sz="0" w:space="0" w:color="auto"/>
            <w:left w:val="none" w:sz="0" w:space="0" w:color="auto"/>
            <w:bottom w:val="none" w:sz="0" w:space="0" w:color="auto"/>
            <w:right w:val="none" w:sz="0" w:space="0" w:color="auto"/>
          </w:divBdr>
        </w:div>
        <w:div w:id="1357922657">
          <w:marLeft w:val="0"/>
          <w:marRight w:val="0"/>
          <w:marTop w:val="0"/>
          <w:marBottom w:val="0"/>
          <w:divBdr>
            <w:top w:val="none" w:sz="0" w:space="0" w:color="auto"/>
            <w:left w:val="none" w:sz="0" w:space="0" w:color="auto"/>
            <w:bottom w:val="none" w:sz="0" w:space="0" w:color="auto"/>
            <w:right w:val="none" w:sz="0" w:space="0" w:color="auto"/>
          </w:divBdr>
          <w:divsChild>
            <w:div w:id="358973218">
              <w:marLeft w:val="0"/>
              <w:marRight w:val="0"/>
              <w:marTop w:val="0"/>
              <w:marBottom w:val="0"/>
              <w:divBdr>
                <w:top w:val="none" w:sz="0" w:space="0" w:color="auto"/>
                <w:left w:val="none" w:sz="0" w:space="0" w:color="auto"/>
                <w:bottom w:val="none" w:sz="0" w:space="0" w:color="auto"/>
                <w:right w:val="none" w:sz="0" w:space="0" w:color="auto"/>
              </w:divBdr>
            </w:div>
            <w:div w:id="615798721">
              <w:marLeft w:val="0"/>
              <w:marRight w:val="0"/>
              <w:marTop w:val="0"/>
              <w:marBottom w:val="0"/>
              <w:divBdr>
                <w:top w:val="none" w:sz="0" w:space="0" w:color="auto"/>
                <w:left w:val="none" w:sz="0" w:space="0" w:color="auto"/>
                <w:bottom w:val="none" w:sz="0" w:space="0" w:color="auto"/>
                <w:right w:val="none" w:sz="0" w:space="0" w:color="auto"/>
              </w:divBdr>
            </w:div>
            <w:div w:id="949320260">
              <w:marLeft w:val="0"/>
              <w:marRight w:val="0"/>
              <w:marTop w:val="0"/>
              <w:marBottom w:val="0"/>
              <w:divBdr>
                <w:top w:val="none" w:sz="0" w:space="0" w:color="auto"/>
                <w:left w:val="none" w:sz="0" w:space="0" w:color="auto"/>
                <w:bottom w:val="none" w:sz="0" w:space="0" w:color="auto"/>
                <w:right w:val="none" w:sz="0" w:space="0" w:color="auto"/>
              </w:divBdr>
            </w:div>
            <w:div w:id="1054548092">
              <w:marLeft w:val="0"/>
              <w:marRight w:val="0"/>
              <w:marTop w:val="0"/>
              <w:marBottom w:val="0"/>
              <w:divBdr>
                <w:top w:val="none" w:sz="0" w:space="0" w:color="auto"/>
                <w:left w:val="none" w:sz="0" w:space="0" w:color="auto"/>
                <w:bottom w:val="none" w:sz="0" w:space="0" w:color="auto"/>
                <w:right w:val="none" w:sz="0" w:space="0" w:color="auto"/>
              </w:divBdr>
            </w:div>
            <w:div w:id="1512597503">
              <w:marLeft w:val="0"/>
              <w:marRight w:val="0"/>
              <w:marTop w:val="0"/>
              <w:marBottom w:val="0"/>
              <w:divBdr>
                <w:top w:val="none" w:sz="0" w:space="0" w:color="auto"/>
                <w:left w:val="none" w:sz="0" w:space="0" w:color="auto"/>
                <w:bottom w:val="none" w:sz="0" w:space="0" w:color="auto"/>
                <w:right w:val="none" w:sz="0" w:space="0" w:color="auto"/>
              </w:divBdr>
            </w:div>
          </w:divsChild>
        </w:div>
        <w:div w:id="1361980044">
          <w:marLeft w:val="0"/>
          <w:marRight w:val="0"/>
          <w:marTop w:val="0"/>
          <w:marBottom w:val="0"/>
          <w:divBdr>
            <w:top w:val="none" w:sz="0" w:space="0" w:color="auto"/>
            <w:left w:val="none" w:sz="0" w:space="0" w:color="auto"/>
            <w:bottom w:val="none" w:sz="0" w:space="0" w:color="auto"/>
            <w:right w:val="none" w:sz="0" w:space="0" w:color="auto"/>
          </w:divBdr>
          <w:divsChild>
            <w:div w:id="1690567562">
              <w:marLeft w:val="0"/>
              <w:marRight w:val="0"/>
              <w:marTop w:val="0"/>
              <w:marBottom w:val="0"/>
              <w:divBdr>
                <w:top w:val="none" w:sz="0" w:space="0" w:color="auto"/>
                <w:left w:val="none" w:sz="0" w:space="0" w:color="auto"/>
                <w:bottom w:val="none" w:sz="0" w:space="0" w:color="auto"/>
                <w:right w:val="none" w:sz="0" w:space="0" w:color="auto"/>
              </w:divBdr>
            </w:div>
          </w:divsChild>
        </w:div>
        <w:div w:id="1385908880">
          <w:marLeft w:val="0"/>
          <w:marRight w:val="0"/>
          <w:marTop w:val="0"/>
          <w:marBottom w:val="0"/>
          <w:divBdr>
            <w:top w:val="none" w:sz="0" w:space="0" w:color="auto"/>
            <w:left w:val="none" w:sz="0" w:space="0" w:color="auto"/>
            <w:bottom w:val="none" w:sz="0" w:space="0" w:color="auto"/>
            <w:right w:val="none" w:sz="0" w:space="0" w:color="auto"/>
          </w:divBdr>
        </w:div>
        <w:div w:id="1398891841">
          <w:marLeft w:val="0"/>
          <w:marRight w:val="0"/>
          <w:marTop w:val="0"/>
          <w:marBottom w:val="0"/>
          <w:divBdr>
            <w:top w:val="none" w:sz="0" w:space="0" w:color="auto"/>
            <w:left w:val="none" w:sz="0" w:space="0" w:color="auto"/>
            <w:bottom w:val="none" w:sz="0" w:space="0" w:color="auto"/>
            <w:right w:val="none" w:sz="0" w:space="0" w:color="auto"/>
          </w:divBdr>
        </w:div>
        <w:div w:id="1412696516">
          <w:marLeft w:val="0"/>
          <w:marRight w:val="0"/>
          <w:marTop w:val="0"/>
          <w:marBottom w:val="0"/>
          <w:divBdr>
            <w:top w:val="none" w:sz="0" w:space="0" w:color="auto"/>
            <w:left w:val="none" w:sz="0" w:space="0" w:color="auto"/>
            <w:bottom w:val="none" w:sz="0" w:space="0" w:color="auto"/>
            <w:right w:val="none" w:sz="0" w:space="0" w:color="auto"/>
          </w:divBdr>
        </w:div>
        <w:div w:id="1412851513">
          <w:marLeft w:val="0"/>
          <w:marRight w:val="0"/>
          <w:marTop w:val="0"/>
          <w:marBottom w:val="0"/>
          <w:divBdr>
            <w:top w:val="none" w:sz="0" w:space="0" w:color="auto"/>
            <w:left w:val="none" w:sz="0" w:space="0" w:color="auto"/>
            <w:bottom w:val="none" w:sz="0" w:space="0" w:color="auto"/>
            <w:right w:val="none" w:sz="0" w:space="0" w:color="auto"/>
          </w:divBdr>
        </w:div>
        <w:div w:id="1415081555">
          <w:marLeft w:val="0"/>
          <w:marRight w:val="0"/>
          <w:marTop w:val="0"/>
          <w:marBottom w:val="0"/>
          <w:divBdr>
            <w:top w:val="none" w:sz="0" w:space="0" w:color="auto"/>
            <w:left w:val="none" w:sz="0" w:space="0" w:color="auto"/>
            <w:bottom w:val="none" w:sz="0" w:space="0" w:color="auto"/>
            <w:right w:val="none" w:sz="0" w:space="0" w:color="auto"/>
          </w:divBdr>
        </w:div>
        <w:div w:id="1416781464">
          <w:marLeft w:val="0"/>
          <w:marRight w:val="0"/>
          <w:marTop w:val="0"/>
          <w:marBottom w:val="0"/>
          <w:divBdr>
            <w:top w:val="none" w:sz="0" w:space="0" w:color="auto"/>
            <w:left w:val="none" w:sz="0" w:space="0" w:color="auto"/>
            <w:bottom w:val="none" w:sz="0" w:space="0" w:color="auto"/>
            <w:right w:val="none" w:sz="0" w:space="0" w:color="auto"/>
          </w:divBdr>
        </w:div>
        <w:div w:id="1417558383">
          <w:marLeft w:val="0"/>
          <w:marRight w:val="0"/>
          <w:marTop w:val="0"/>
          <w:marBottom w:val="0"/>
          <w:divBdr>
            <w:top w:val="none" w:sz="0" w:space="0" w:color="auto"/>
            <w:left w:val="none" w:sz="0" w:space="0" w:color="auto"/>
            <w:bottom w:val="none" w:sz="0" w:space="0" w:color="auto"/>
            <w:right w:val="none" w:sz="0" w:space="0" w:color="auto"/>
          </w:divBdr>
        </w:div>
        <w:div w:id="1418016970">
          <w:marLeft w:val="0"/>
          <w:marRight w:val="0"/>
          <w:marTop w:val="0"/>
          <w:marBottom w:val="0"/>
          <w:divBdr>
            <w:top w:val="none" w:sz="0" w:space="0" w:color="auto"/>
            <w:left w:val="none" w:sz="0" w:space="0" w:color="auto"/>
            <w:bottom w:val="none" w:sz="0" w:space="0" w:color="auto"/>
            <w:right w:val="none" w:sz="0" w:space="0" w:color="auto"/>
          </w:divBdr>
        </w:div>
        <w:div w:id="1425105800">
          <w:marLeft w:val="0"/>
          <w:marRight w:val="0"/>
          <w:marTop w:val="0"/>
          <w:marBottom w:val="0"/>
          <w:divBdr>
            <w:top w:val="none" w:sz="0" w:space="0" w:color="auto"/>
            <w:left w:val="none" w:sz="0" w:space="0" w:color="auto"/>
            <w:bottom w:val="none" w:sz="0" w:space="0" w:color="auto"/>
            <w:right w:val="none" w:sz="0" w:space="0" w:color="auto"/>
          </w:divBdr>
        </w:div>
        <w:div w:id="1432435585">
          <w:marLeft w:val="0"/>
          <w:marRight w:val="0"/>
          <w:marTop w:val="0"/>
          <w:marBottom w:val="0"/>
          <w:divBdr>
            <w:top w:val="none" w:sz="0" w:space="0" w:color="auto"/>
            <w:left w:val="none" w:sz="0" w:space="0" w:color="auto"/>
            <w:bottom w:val="none" w:sz="0" w:space="0" w:color="auto"/>
            <w:right w:val="none" w:sz="0" w:space="0" w:color="auto"/>
          </w:divBdr>
        </w:div>
        <w:div w:id="1477183187">
          <w:marLeft w:val="0"/>
          <w:marRight w:val="0"/>
          <w:marTop w:val="0"/>
          <w:marBottom w:val="0"/>
          <w:divBdr>
            <w:top w:val="none" w:sz="0" w:space="0" w:color="auto"/>
            <w:left w:val="none" w:sz="0" w:space="0" w:color="auto"/>
            <w:bottom w:val="none" w:sz="0" w:space="0" w:color="auto"/>
            <w:right w:val="none" w:sz="0" w:space="0" w:color="auto"/>
          </w:divBdr>
        </w:div>
        <w:div w:id="1486704487">
          <w:marLeft w:val="0"/>
          <w:marRight w:val="0"/>
          <w:marTop w:val="0"/>
          <w:marBottom w:val="0"/>
          <w:divBdr>
            <w:top w:val="none" w:sz="0" w:space="0" w:color="auto"/>
            <w:left w:val="none" w:sz="0" w:space="0" w:color="auto"/>
            <w:bottom w:val="none" w:sz="0" w:space="0" w:color="auto"/>
            <w:right w:val="none" w:sz="0" w:space="0" w:color="auto"/>
          </w:divBdr>
        </w:div>
        <w:div w:id="1487480665">
          <w:marLeft w:val="0"/>
          <w:marRight w:val="0"/>
          <w:marTop w:val="0"/>
          <w:marBottom w:val="0"/>
          <w:divBdr>
            <w:top w:val="none" w:sz="0" w:space="0" w:color="auto"/>
            <w:left w:val="none" w:sz="0" w:space="0" w:color="auto"/>
            <w:bottom w:val="none" w:sz="0" w:space="0" w:color="auto"/>
            <w:right w:val="none" w:sz="0" w:space="0" w:color="auto"/>
          </w:divBdr>
        </w:div>
        <w:div w:id="1487823883">
          <w:marLeft w:val="0"/>
          <w:marRight w:val="0"/>
          <w:marTop w:val="0"/>
          <w:marBottom w:val="0"/>
          <w:divBdr>
            <w:top w:val="none" w:sz="0" w:space="0" w:color="auto"/>
            <w:left w:val="none" w:sz="0" w:space="0" w:color="auto"/>
            <w:bottom w:val="none" w:sz="0" w:space="0" w:color="auto"/>
            <w:right w:val="none" w:sz="0" w:space="0" w:color="auto"/>
          </w:divBdr>
        </w:div>
        <w:div w:id="1502088559">
          <w:marLeft w:val="0"/>
          <w:marRight w:val="0"/>
          <w:marTop w:val="0"/>
          <w:marBottom w:val="0"/>
          <w:divBdr>
            <w:top w:val="none" w:sz="0" w:space="0" w:color="auto"/>
            <w:left w:val="none" w:sz="0" w:space="0" w:color="auto"/>
            <w:bottom w:val="none" w:sz="0" w:space="0" w:color="auto"/>
            <w:right w:val="none" w:sz="0" w:space="0" w:color="auto"/>
          </w:divBdr>
        </w:div>
        <w:div w:id="1502237565">
          <w:marLeft w:val="0"/>
          <w:marRight w:val="0"/>
          <w:marTop w:val="0"/>
          <w:marBottom w:val="0"/>
          <w:divBdr>
            <w:top w:val="none" w:sz="0" w:space="0" w:color="auto"/>
            <w:left w:val="none" w:sz="0" w:space="0" w:color="auto"/>
            <w:bottom w:val="none" w:sz="0" w:space="0" w:color="auto"/>
            <w:right w:val="none" w:sz="0" w:space="0" w:color="auto"/>
          </w:divBdr>
          <w:divsChild>
            <w:div w:id="55058162">
              <w:marLeft w:val="0"/>
              <w:marRight w:val="0"/>
              <w:marTop w:val="0"/>
              <w:marBottom w:val="0"/>
              <w:divBdr>
                <w:top w:val="none" w:sz="0" w:space="0" w:color="auto"/>
                <w:left w:val="none" w:sz="0" w:space="0" w:color="auto"/>
                <w:bottom w:val="none" w:sz="0" w:space="0" w:color="auto"/>
                <w:right w:val="none" w:sz="0" w:space="0" w:color="auto"/>
              </w:divBdr>
            </w:div>
            <w:div w:id="61952268">
              <w:marLeft w:val="0"/>
              <w:marRight w:val="0"/>
              <w:marTop w:val="0"/>
              <w:marBottom w:val="0"/>
              <w:divBdr>
                <w:top w:val="none" w:sz="0" w:space="0" w:color="auto"/>
                <w:left w:val="none" w:sz="0" w:space="0" w:color="auto"/>
                <w:bottom w:val="none" w:sz="0" w:space="0" w:color="auto"/>
                <w:right w:val="none" w:sz="0" w:space="0" w:color="auto"/>
              </w:divBdr>
            </w:div>
            <w:div w:id="714886246">
              <w:marLeft w:val="0"/>
              <w:marRight w:val="0"/>
              <w:marTop w:val="0"/>
              <w:marBottom w:val="0"/>
              <w:divBdr>
                <w:top w:val="none" w:sz="0" w:space="0" w:color="auto"/>
                <w:left w:val="none" w:sz="0" w:space="0" w:color="auto"/>
                <w:bottom w:val="none" w:sz="0" w:space="0" w:color="auto"/>
                <w:right w:val="none" w:sz="0" w:space="0" w:color="auto"/>
              </w:divBdr>
            </w:div>
            <w:div w:id="797145083">
              <w:marLeft w:val="0"/>
              <w:marRight w:val="0"/>
              <w:marTop w:val="0"/>
              <w:marBottom w:val="0"/>
              <w:divBdr>
                <w:top w:val="none" w:sz="0" w:space="0" w:color="auto"/>
                <w:left w:val="none" w:sz="0" w:space="0" w:color="auto"/>
                <w:bottom w:val="none" w:sz="0" w:space="0" w:color="auto"/>
                <w:right w:val="none" w:sz="0" w:space="0" w:color="auto"/>
              </w:divBdr>
            </w:div>
            <w:div w:id="1209609834">
              <w:marLeft w:val="0"/>
              <w:marRight w:val="0"/>
              <w:marTop w:val="0"/>
              <w:marBottom w:val="0"/>
              <w:divBdr>
                <w:top w:val="none" w:sz="0" w:space="0" w:color="auto"/>
                <w:left w:val="none" w:sz="0" w:space="0" w:color="auto"/>
                <w:bottom w:val="none" w:sz="0" w:space="0" w:color="auto"/>
                <w:right w:val="none" w:sz="0" w:space="0" w:color="auto"/>
              </w:divBdr>
            </w:div>
          </w:divsChild>
        </w:div>
        <w:div w:id="1504323016">
          <w:marLeft w:val="0"/>
          <w:marRight w:val="0"/>
          <w:marTop w:val="0"/>
          <w:marBottom w:val="0"/>
          <w:divBdr>
            <w:top w:val="none" w:sz="0" w:space="0" w:color="auto"/>
            <w:left w:val="none" w:sz="0" w:space="0" w:color="auto"/>
            <w:bottom w:val="none" w:sz="0" w:space="0" w:color="auto"/>
            <w:right w:val="none" w:sz="0" w:space="0" w:color="auto"/>
          </w:divBdr>
        </w:div>
        <w:div w:id="1509906008">
          <w:marLeft w:val="0"/>
          <w:marRight w:val="0"/>
          <w:marTop w:val="0"/>
          <w:marBottom w:val="0"/>
          <w:divBdr>
            <w:top w:val="none" w:sz="0" w:space="0" w:color="auto"/>
            <w:left w:val="none" w:sz="0" w:space="0" w:color="auto"/>
            <w:bottom w:val="none" w:sz="0" w:space="0" w:color="auto"/>
            <w:right w:val="none" w:sz="0" w:space="0" w:color="auto"/>
          </w:divBdr>
        </w:div>
        <w:div w:id="1517424306">
          <w:marLeft w:val="0"/>
          <w:marRight w:val="0"/>
          <w:marTop w:val="0"/>
          <w:marBottom w:val="0"/>
          <w:divBdr>
            <w:top w:val="none" w:sz="0" w:space="0" w:color="auto"/>
            <w:left w:val="none" w:sz="0" w:space="0" w:color="auto"/>
            <w:bottom w:val="none" w:sz="0" w:space="0" w:color="auto"/>
            <w:right w:val="none" w:sz="0" w:space="0" w:color="auto"/>
          </w:divBdr>
          <w:divsChild>
            <w:div w:id="38285488">
              <w:marLeft w:val="0"/>
              <w:marRight w:val="0"/>
              <w:marTop w:val="0"/>
              <w:marBottom w:val="0"/>
              <w:divBdr>
                <w:top w:val="none" w:sz="0" w:space="0" w:color="auto"/>
                <w:left w:val="none" w:sz="0" w:space="0" w:color="auto"/>
                <w:bottom w:val="none" w:sz="0" w:space="0" w:color="auto"/>
                <w:right w:val="none" w:sz="0" w:space="0" w:color="auto"/>
              </w:divBdr>
            </w:div>
            <w:div w:id="190842452">
              <w:marLeft w:val="0"/>
              <w:marRight w:val="0"/>
              <w:marTop w:val="0"/>
              <w:marBottom w:val="0"/>
              <w:divBdr>
                <w:top w:val="none" w:sz="0" w:space="0" w:color="auto"/>
                <w:left w:val="none" w:sz="0" w:space="0" w:color="auto"/>
                <w:bottom w:val="none" w:sz="0" w:space="0" w:color="auto"/>
                <w:right w:val="none" w:sz="0" w:space="0" w:color="auto"/>
              </w:divBdr>
            </w:div>
            <w:div w:id="333730604">
              <w:marLeft w:val="0"/>
              <w:marRight w:val="0"/>
              <w:marTop w:val="0"/>
              <w:marBottom w:val="0"/>
              <w:divBdr>
                <w:top w:val="none" w:sz="0" w:space="0" w:color="auto"/>
                <w:left w:val="none" w:sz="0" w:space="0" w:color="auto"/>
                <w:bottom w:val="none" w:sz="0" w:space="0" w:color="auto"/>
                <w:right w:val="none" w:sz="0" w:space="0" w:color="auto"/>
              </w:divBdr>
            </w:div>
            <w:div w:id="1534264721">
              <w:marLeft w:val="0"/>
              <w:marRight w:val="0"/>
              <w:marTop w:val="0"/>
              <w:marBottom w:val="0"/>
              <w:divBdr>
                <w:top w:val="none" w:sz="0" w:space="0" w:color="auto"/>
                <w:left w:val="none" w:sz="0" w:space="0" w:color="auto"/>
                <w:bottom w:val="none" w:sz="0" w:space="0" w:color="auto"/>
                <w:right w:val="none" w:sz="0" w:space="0" w:color="auto"/>
              </w:divBdr>
            </w:div>
          </w:divsChild>
        </w:div>
        <w:div w:id="1518041180">
          <w:marLeft w:val="0"/>
          <w:marRight w:val="0"/>
          <w:marTop w:val="0"/>
          <w:marBottom w:val="0"/>
          <w:divBdr>
            <w:top w:val="none" w:sz="0" w:space="0" w:color="auto"/>
            <w:left w:val="none" w:sz="0" w:space="0" w:color="auto"/>
            <w:bottom w:val="none" w:sz="0" w:space="0" w:color="auto"/>
            <w:right w:val="none" w:sz="0" w:space="0" w:color="auto"/>
          </w:divBdr>
          <w:divsChild>
            <w:div w:id="237402423">
              <w:marLeft w:val="0"/>
              <w:marRight w:val="0"/>
              <w:marTop w:val="0"/>
              <w:marBottom w:val="0"/>
              <w:divBdr>
                <w:top w:val="none" w:sz="0" w:space="0" w:color="auto"/>
                <w:left w:val="none" w:sz="0" w:space="0" w:color="auto"/>
                <w:bottom w:val="none" w:sz="0" w:space="0" w:color="auto"/>
                <w:right w:val="none" w:sz="0" w:space="0" w:color="auto"/>
              </w:divBdr>
            </w:div>
            <w:div w:id="304745606">
              <w:marLeft w:val="0"/>
              <w:marRight w:val="0"/>
              <w:marTop w:val="0"/>
              <w:marBottom w:val="0"/>
              <w:divBdr>
                <w:top w:val="none" w:sz="0" w:space="0" w:color="auto"/>
                <w:left w:val="none" w:sz="0" w:space="0" w:color="auto"/>
                <w:bottom w:val="none" w:sz="0" w:space="0" w:color="auto"/>
                <w:right w:val="none" w:sz="0" w:space="0" w:color="auto"/>
              </w:divBdr>
            </w:div>
            <w:div w:id="535433447">
              <w:marLeft w:val="0"/>
              <w:marRight w:val="0"/>
              <w:marTop w:val="0"/>
              <w:marBottom w:val="0"/>
              <w:divBdr>
                <w:top w:val="none" w:sz="0" w:space="0" w:color="auto"/>
                <w:left w:val="none" w:sz="0" w:space="0" w:color="auto"/>
                <w:bottom w:val="none" w:sz="0" w:space="0" w:color="auto"/>
                <w:right w:val="none" w:sz="0" w:space="0" w:color="auto"/>
              </w:divBdr>
            </w:div>
            <w:div w:id="1829788959">
              <w:marLeft w:val="0"/>
              <w:marRight w:val="0"/>
              <w:marTop w:val="0"/>
              <w:marBottom w:val="0"/>
              <w:divBdr>
                <w:top w:val="none" w:sz="0" w:space="0" w:color="auto"/>
                <w:left w:val="none" w:sz="0" w:space="0" w:color="auto"/>
                <w:bottom w:val="none" w:sz="0" w:space="0" w:color="auto"/>
                <w:right w:val="none" w:sz="0" w:space="0" w:color="auto"/>
              </w:divBdr>
            </w:div>
            <w:div w:id="2001613284">
              <w:marLeft w:val="0"/>
              <w:marRight w:val="0"/>
              <w:marTop w:val="0"/>
              <w:marBottom w:val="0"/>
              <w:divBdr>
                <w:top w:val="none" w:sz="0" w:space="0" w:color="auto"/>
                <w:left w:val="none" w:sz="0" w:space="0" w:color="auto"/>
                <w:bottom w:val="none" w:sz="0" w:space="0" w:color="auto"/>
                <w:right w:val="none" w:sz="0" w:space="0" w:color="auto"/>
              </w:divBdr>
            </w:div>
          </w:divsChild>
        </w:div>
        <w:div w:id="1518228368">
          <w:marLeft w:val="0"/>
          <w:marRight w:val="0"/>
          <w:marTop w:val="0"/>
          <w:marBottom w:val="0"/>
          <w:divBdr>
            <w:top w:val="none" w:sz="0" w:space="0" w:color="auto"/>
            <w:left w:val="none" w:sz="0" w:space="0" w:color="auto"/>
            <w:bottom w:val="none" w:sz="0" w:space="0" w:color="auto"/>
            <w:right w:val="none" w:sz="0" w:space="0" w:color="auto"/>
          </w:divBdr>
        </w:div>
        <w:div w:id="1522818699">
          <w:marLeft w:val="0"/>
          <w:marRight w:val="0"/>
          <w:marTop w:val="0"/>
          <w:marBottom w:val="0"/>
          <w:divBdr>
            <w:top w:val="none" w:sz="0" w:space="0" w:color="auto"/>
            <w:left w:val="none" w:sz="0" w:space="0" w:color="auto"/>
            <w:bottom w:val="none" w:sz="0" w:space="0" w:color="auto"/>
            <w:right w:val="none" w:sz="0" w:space="0" w:color="auto"/>
          </w:divBdr>
        </w:div>
        <w:div w:id="1524246768">
          <w:marLeft w:val="0"/>
          <w:marRight w:val="0"/>
          <w:marTop w:val="0"/>
          <w:marBottom w:val="0"/>
          <w:divBdr>
            <w:top w:val="none" w:sz="0" w:space="0" w:color="auto"/>
            <w:left w:val="none" w:sz="0" w:space="0" w:color="auto"/>
            <w:bottom w:val="none" w:sz="0" w:space="0" w:color="auto"/>
            <w:right w:val="none" w:sz="0" w:space="0" w:color="auto"/>
          </w:divBdr>
        </w:div>
        <w:div w:id="1532721108">
          <w:marLeft w:val="0"/>
          <w:marRight w:val="0"/>
          <w:marTop w:val="0"/>
          <w:marBottom w:val="0"/>
          <w:divBdr>
            <w:top w:val="none" w:sz="0" w:space="0" w:color="auto"/>
            <w:left w:val="none" w:sz="0" w:space="0" w:color="auto"/>
            <w:bottom w:val="none" w:sz="0" w:space="0" w:color="auto"/>
            <w:right w:val="none" w:sz="0" w:space="0" w:color="auto"/>
          </w:divBdr>
        </w:div>
        <w:div w:id="1536579087">
          <w:marLeft w:val="0"/>
          <w:marRight w:val="0"/>
          <w:marTop w:val="0"/>
          <w:marBottom w:val="0"/>
          <w:divBdr>
            <w:top w:val="none" w:sz="0" w:space="0" w:color="auto"/>
            <w:left w:val="none" w:sz="0" w:space="0" w:color="auto"/>
            <w:bottom w:val="none" w:sz="0" w:space="0" w:color="auto"/>
            <w:right w:val="none" w:sz="0" w:space="0" w:color="auto"/>
          </w:divBdr>
        </w:div>
        <w:div w:id="1538079835">
          <w:marLeft w:val="0"/>
          <w:marRight w:val="0"/>
          <w:marTop w:val="0"/>
          <w:marBottom w:val="0"/>
          <w:divBdr>
            <w:top w:val="none" w:sz="0" w:space="0" w:color="auto"/>
            <w:left w:val="none" w:sz="0" w:space="0" w:color="auto"/>
            <w:bottom w:val="none" w:sz="0" w:space="0" w:color="auto"/>
            <w:right w:val="none" w:sz="0" w:space="0" w:color="auto"/>
          </w:divBdr>
          <w:divsChild>
            <w:div w:id="170728866">
              <w:marLeft w:val="0"/>
              <w:marRight w:val="0"/>
              <w:marTop w:val="0"/>
              <w:marBottom w:val="0"/>
              <w:divBdr>
                <w:top w:val="none" w:sz="0" w:space="0" w:color="auto"/>
                <w:left w:val="none" w:sz="0" w:space="0" w:color="auto"/>
                <w:bottom w:val="none" w:sz="0" w:space="0" w:color="auto"/>
                <w:right w:val="none" w:sz="0" w:space="0" w:color="auto"/>
              </w:divBdr>
            </w:div>
            <w:div w:id="836311971">
              <w:marLeft w:val="0"/>
              <w:marRight w:val="0"/>
              <w:marTop w:val="0"/>
              <w:marBottom w:val="0"/>
              <w:divBdr>
                <w:top w:val="none" w:sz="0" w:space="0" w:color="auto"/>
                <w:left w:val="none" w:sz="0" w:space="0" w:color="auto"/>
                <w:bottom w:val="none" w:sz="0" w:space="0" w:color="auto"/>
                <w:right w:val="none" w:sz="0" w:space="0" w:color="auto"/>
              </w:divBdr>
            </w:div>
            <w:div w:id="1412384297">
              <w:marLeft w:val="0"/>
              <w:marRight w:val="0"/>
              <w:marTop w:val="0"/>
              <w:marBottom w:val="0"/>
              <w:divBdr>
                <w:top w:val="none" w:sz="0" w:space="0" w:color="auto"/>
                <w:left w:val="none" w:sz="0" w:space="0" w:color="auto"/>
                <w:bottom w:val="none" w:sz="0" w:space="0" w:color="auto"/>
                <w:right w:val="none" w:sz="0" w:space="0" w:color="auto"/>
              </w:divBdr>
            </w:div>
            <w:div w:id="1655522951">
              <w:marLeft w:val="0"/>
              <w:marRight w:val="0"/>
              <w:marTop w:val="0"/>
              <w:marBottom w:val="0"/>
              <w:divBdr>
                <w:top w:val="none" w:sz="0" w:space="0" w:color="auto"/>
                <w:left w:val="none" w:sz="0" w:space="0" w:color="auto"/>
                <w:bottom w:val="none" w:sz="0" w:space="0" w:color="auto"/>
                <w:right w:val="none" w:sz="0" w:space="0" w:color="auto"/>
              </w:divBdr>
            </w:div>
            <w:div w:id="1719821570">
              <w:marLeft w:val="0"/>
              <w:marRight w:val="0"/>
              <w:marTop w:val="0"/>
              <w:marBottom w:val="0"/>
              <w:divBdr>
                <w:top w:val="none" w:sz="0" w:space="0" w:color="auto"/>
                <w:left w:val="none" w:sz="0" w:space="0" w:color="auto"/>
                <w:bottom w:val="none" w:sz="0" w:space="0" w:color="auto"/>
                <w:right w:val="none" w:sz="0" w:space="0" w:color="auto"/>
              </w:divBdr>
            </w:div>
          </w:divsChild>
        </w:div>
        <w:div w:id="1538543112">
          <w:marLeft w:val="0"/>
          <w:marRight w:val="0"/>
          <w:marTop w:val="0"/>
          <w:marBottom w:val="0"/>
          <w:divBdr>
            <w:top w:val="none" w:sz="0" w:space="0" w:color="auto"/>
            <w:left w:val="none" w:sz="0" w:space="0" w:color="auto"/>
            <w:bottom w:val="none" w:sz="0" w:space="0" w:color="auto"/>
            <w:right w:val="none" w:sz="0" w:space="0" w:color="auto"/>
          </w:divBdr>
        </w:div>
        <w:div w:id="1580678334">
          <w:marLeft w:val="0"/>
          <w:marRight w:val="0"/>
          <w:marTop w:val="0"/>
          <w:marBottom w:val="0"/>
          <w:divBdr>
            <w:top w:val="none" w:sz="0" w:space="0" w:color="auto"/>
            <w:left w:val="none" w:sz="0" w:space="0" w:color="auto"/>
            <w:bottom w:val="none" w:sz="0" w:space="0" w:color="auto"/>
            <w:right w:val="none" w:sz="0" w:space="0" w:color="auto"/>
          </w:divBdr>
        </w:div>
        <w:div w:id="1600874689">
          <w:marLeft w:val="0"/>
          <w:marRight w:val="0"/>
          <w:marTop w:val="0"/>
          <w:marBottom w:val="0"/>
          <w:divBdr>
            <w:top w:val="none" w:sz="0" w:space="0" w:color="auto"/>
            <w:left w:val="none" w:sz="0" w:space="0" w:color="auto"/>
            <w:bottom w:val="none" w:sz="0" w:space="0" w:color="auto"/>
            <w:right w:val="none" w:sz="0" w:space="0" w:color="auto"/>
          </w:divBdr>
        </w:div>
        <w:div w:id="1602563919">
          <w:marLeft w:val="0"/>
          <w:marRight w:val="0"/>
          <w:marTop w:val="0"/>
          <w:marBottom w:val="0"/>
          <w:divBdr>
            <w:top w:val="none" w:sz="0" w:space="0" w:color="auto"/>
            <w:left w:val="none" w:sz="0" w:space="0" w:color="auto"/>
            <w:bottom w:val="none" w:sz="0" w:space="0" w:color="auto"/>
            <w:right w:val="none" w:sz="0" w:space="0" w:color="auto"/>
          </w:divBdr>
        </w:div>
        <w:div w:id="1605654760">
          <w:marLeft w:val="0"/>
          <w:marRight w:val="0"/>
          <w:marTop w:val="0"/>
          <w:marBottom w:val="0"/>
          <w:divBdr>
            <w:top w:val="none" w:sz="0" w:space="0" w:color="auto"/>
            <w:left w:val="none" w:sz="0" w:space="0" w:color="auto"/>
            <w:bottom w:val="none" w:sz="0" w:space="0" w:color="auto"/>
            <w:right w:val="none" w:sz="0" w:space="0" w:color="auto"/>
          </w:divBdr>
        </w:div>
        <w:div w:id="1613705164">
          <w:marLeft w:val="0"/>
          <w:marRight w:val="0"/>
          <w:marTop w:val="0"/>
          <w:marBottom w:val="0"/>
          <w:divBdr>
            <w:top w:val="none" w:sz="0" w:space="0" w:color="auto"/>
            <w:left w:val="none" w:sz="0" w:space="0" w:color="auto"/>
            <w:bottom w:val="none" w:sz="0" w:space="0" w:color="auto"/>
            <w:right w:val="none" w:sz="0" w:space="0" w:color="auto"/>
          </w:divBdr>
        </w:div>
        <w:div w:id="1622952827">
          <w:marLeft w:val="0"/>
          <w:marRight w:val="0"/>
          <w:marTop w:val="0"/>
          <w:marBottom w:val="0"/>
          <w:divBdr>
            <w:top w:val="none" w:sz="0" w:space="0" w:color="auto"/>
            <w:left w:val="none" w:sz="0" w:space="0" w:color="auto"/>
            <w:bottom w:val="none" w:sz="0" w:space="0" w:color="auto"/>
            <w:right w:val="none" w:sz="0" w:space="0" w:color="auto"/>
          </w:divBdr>
        </w:div>
        <w:div w:id="1625037404">
          <w:marLeft w:val="0"/>
          <w:marRight w:val="0"/>
          <w:marTop w:val="0"/>
          <w:marBottom w:val="0"/>
          <w:divBdr>
            <w:top w:val="none" w:sz="0" w:space="0" w:color="auto"/>
            <w:left w:val="none" w:sz="0" w:space="0" w:color="auto"/>
            <w:bottom w:val="none" w:sz="0" w:space="0" w:color="auto"/>
            <w:right w:val="none" w:sz="0" w:space="0" w:color="auto"/>
          </w:divBdr>
        </w:div>
        <w:div w:id="1630209145">
          <w:marLeft w:val="0"/>
          <w:marRight w:val="0"/>
          <w:marTop w:val="0"/>
          <w:marBottom w:val="0"/>
          <w:divBdr>
            <w:top w:val="none" w:sz="0" w:space="0" w:color="auto"/>
            <w:left w:val="none" w:sz="0" w:space="0" w:color="auto"/>
            <w:bottom w:val="none" w:sz="0" w:space="0" w:color="auto"/>
            <w:right w:val="none" w:sz="0" w:space="0" w:color="auto"/>
          </w:divBdr>
        </w:div>
        <w:div w:id="1651639610">
          <w:marLeft w:val="0"/>
          <w:marRight w:val="0"/>
          <w:marTop w:val="0"/>
          <w:marBottom w:val="0"/>
          <w:divBdr>
            <w:top w:val="none" w:sz="0" w:space="0" w:color="auto"/>
            <w:left w:val="none" w:sz="0" w:space="0" w:color="auto"/>
            <w:bottom w:val="none" w:sz="0" w:space="0" w:color="auto"/>
            <w:right w:val="none" w:sz="0" w:space="0" w:color="auto"/>
          </w:divBdr>
        </w:div>
        <w:div w:id="1651713433">
          <w:marLeft w:val="0"/>
          <w:marRight w:val="0"/>
          <w:marTop w:val="0"/>
          <w:marBottom w:val="0"/>
          <w:divBdr>
            <w:top w:val="none" w:sz="0" w:space="0" w:color="auto"/>
            <w:left w:val="none" w:sz="0" w:space="0" w:color="auto"/>
            <w:bottom w:val="none" w:sz="0" w:space="0" w:color="auto"/>
            <w:right w:val="none" w:sz="0" w:space="0" w:color="auto"/>
          </w:divBdr>
        </w:div>
        <w:div w:id="1660768181">
          <w:marLeft w:val="0"/>
          <w:marRight w:val="0"/>
          <w:marTop w:val="0"/>
          <w:marBottom w:val="0"/>
          <w:divBdr>
            <w:top w:val="none" w:sz="0" w:space="0" w:color="auto"/>
            <w:left w:val="none" w:sz="0" w:space="0" w:color="auto"/>
            <w:bottom w:val="none" w:sz="0" w:space="0" w:color="auto"/>
            <w:right w:val="none" w:sz="0" w:space="0" w:color="auto"/>
          </w:divBdr>
        </w:div>
        <w:div w:id="1663971263">
          <w:marLeft w:val="0"/>
          <w:marRight w:val="0"/>
          <w:marTop w:val="0"/>
          <w:marBottom w:val="0"/>
          <w:divBdr>
            <w:top w:val="none" w:sz="0" w:space="0" w:color="auto"/>
            <w:left w:val="none" w:sz="0" w:space="0" w:color="auto"/>
            <w:bottom w:val="none" w:sz="0" w:space="0" w:color="auto"/>
            <w:right w:val="none" w:sz="0" w:space="0" w:color="auto"/>
          </w:divBdr>
        </w:div>
        <w:div w:id="1664553997">
          <w:marLeft w:val="0"/>
          <w:marRight w:val="0"/>
          <w:marTop w:val="0"/>
          <w:marBottom w:val="0"/>
          <w:divBdr>
            <w:top w:val="none" w:sz="0" w:space="0" w:color="auto"/>
            <w:left w:val="none" w:sz="0" w:space="0" w:color="auto"/>
            <w:bottom w:val="none" w:sz="0" w:space="0" w:color="auto"/>
            <w:right w:val="none" w:sz="0" w:space="0" w:color="auto"/>
          </w:divBdr>
        </w:div>
        <w:div w:id="1672104735">
          <w:marLeft w:val="0"/>
          <w:marRight w:val="0"/>
          <w:marTop w:val="0"/>
          <w:marBottom w:val="0"/>
          <w:divBdr>
            <w:top w:val="none" w:sz="0" w:space="0" w:color="auto"/>
            <w:left w:val="none" w:sz="0" w:space="0" w:color="auto"/>
            <w:bottom w:val="none" w:sz="0" w:space="0" w:color="auto"/>
            <w:right w:val="none" w:sz="0" w:space="0" w:color="auto"/>
          </w:divBdr>
        </w:div>
        <w:div w:id="1674794627">
          <w:marLeft w:val="0"/>
          <w:marRight w:val="0"/>
          <w:marTop w:val="0"/>
          <w:marBottom w:val="0"/>
          <w:divBdr>
            <w:top w:val="none" w:sz="0" w:space="0" w:color="auto"/>
            <w:left w:val="none" w:sz="0" w:space="0" w:color="auto"/>
            <w:bottom w:val="none" w:sz="0" w:space="0" w:color="auto"/>
            <w:right w:val="none" w:sz="0" w:space="0" w:color="auto"/>
          </w:divBdr>
          <w:divsChild>
            <w:div w:id="517161497">
              <w:marLeft w:val="0"/>
              <w:marRight w:val="0"/>
              <w:marTop w:val="0"/>
              <w:marBottom w:val="0"/>
              <w:divBdr>
                <w:top w:val="none" w:sz="0" w:space="0" w:color="auto"/>
                <w:left w:val="none" w:sz="0" w:space="0" w:color="auto"/>
                <w:bottom w:val="none" w:sz="0" w:space="0" w:color="auto"/>
                <w:right w:val="none" w:sz="0" w:space="0" w:color="auto"/>
              </w:divBdr>
            </w:div>
            <w:div w:id="980621787">
              <w:marLeft w:val="0"/>
              <w:marRight w:val="0"/>
              <w:marTop w:val="0"/>
              <w:marBottom w:val="0"/>
              <w:divBdr>
                <w:top w:val="none" w:sz="0" w:space="0" w:color="auto"/>
                <w:left w:val="none" w:sz="0" w:space="0" w:color="auto"/>
                <w:bottom w:val="none" w:sz="0" w:space="0" w:color="auto"/>
                <w:right w:val="none" w:sz="0" w:space="0" w:color="auto"/>
              </w:divBdr>
            </w:div>
            <w:div w:id="1145008725">
              <w:marLeft w:val="0"/>
              <w:marRight w:val="0"/>
              <w:marTop w:val="0"/>
              <w:marBottom w:val="0"/>
              <w:divBdr>
                <w:top w:val="none" w:sz="0" w:space="0" w:color="auto"/>
                <w:left w:val="none" w:sz="0" w:space="0" w:color="auto"/>
                <w:bottom w:val="none" w:sz="0" w:space="0" w:color="auto"/>
                <w:right w:val="none" w:sz="0" w:space="0" w:color="auto"/>
              </w:divBdr>
            </w:div>
            <w:div w:id="1407605438">
              <w:marLeft w:val="0"/>
              <w:marRight w:val="0"/>
              <w:marTop w:val="0"/>
              <w:marBottom w:val="0"/>
              <w:divBdr>
                <w:top w:val="none" w:sz="0" w:space="0" w:color="auto"/>
                <w:left w:val="none" w:sz="0" w:space="0" w:color="auto"/>
                <w:bottom w:val="none" w:sz="0" w:space="0" w:color="auto"/>
                <w:right w:val="none" w:sz="0" w:space="0" w:color="auto"/>
              </w:divBdr>
            </w:div>
            <w:div w:id="1676959645">
              <w:marLeft w:val="0"/>
              <w:marRight w:val="0"/>
              <w:marTop w:val="0"/>
              <w:marBottom w:val="0"/>
              <w:divBdr>
                <w:top w:val="none" w:sz="0" w:space="0" w:color="auto"/>
                <w:left w:val="none" w:sz="0" w:space="0" w:color="auto"/>
                <w:bottom w:val="none" w:sz="0" w:space="0" w:color="auto"/>
                <w:right w:val="none" w:sz="0" w:space="0" w:color="auto"/>
              </w:divBdr>
            </w:div>
          </w:divsChild>
        </w:div>
        <w:div w:id="1682776906">
          <w:marLeft w:val="0"/>
          <w:marRight w:val="0"/>
          <w:marTop w:val="0"/>
          <w:marBottom w:val="0"/>
          <w:divBdr>
            <w:top w:val="none" w:sz="0" w:space="0" w:color="auto"/>
            <w:left w:val="none" w:sz="0" w:space="0" w:color="auto"/>
            <w:bottom w:val="none" w:sz="0" w:space="0" w:color="auto"/>
            <w:right w:val="none" w:sz="0" w:space="0" w:color="auto"/>
          </w:divBdr>
        </w:div>
        <w:div w:id="1685547844">
          <w:marLeft w:val="0"/>
          <w:marRight w:val="0"/>
          <w:marTop w:val="0"/>
          <w:marBottom w:val="0"/>
          <w:divBdr>
            <w:top w:val="none" w:sz="0" w:space="0" w:color="auto"/>
            <w:left w:val="none" w:sz="0" w:space="0" w:color="auto"/>
            <w:bottom w:val="none" w:sz="0" w:space="0" w:color="auto"/>
            <w:right w:val="none" w:sz="0" w:space="0" w:color="auto"/>
          </w:divBdr>
        </w:div>
        <w:div w:id="1694065927">
          <w:marLeft w:val="0"/>
          <w:marRight w:val="0"/>
          <w:marTop w:val="0"/>
          <w:marBottom w:val="0"/>
          <w:divBdr>
            <w:top w:val="none" w:sz="0" w:space="0" w:color="auto"/>
            <w:left w:val="none" w:sz="0" w:space="0" w:color="auto"/>
            <w:bottom w:val="none" w:sz="0" w:space="0" w:color="auto"/>
            <w:right w:val="none" w:sz="0" w:space="0" w:color="auto"/>
          </w:divBdr>
        </w:div>
        <w:div w:id="1705714620">
          <w:marLeft w:val="0"/>
          <w:marRight w:val="0"/>
          <w:marTop w:val="0"/>
          <w:marBottom w:val="0"/>
          <w:divBdr>
            <w:top w:val="none" w:sz="0" w:space="0" w:color="auto"/>
            <w:left w:val="none" w:sz="0" w:space="0" w:color="auto"/>
            <w:bottom w:val="none" w:sz="0" w:space="0" w:color="auto"/>
            <w:right w:val="none" w:sz="0" w:space="0" w:color="auto"/>
          </w:divBdr>
        </w:div>
        <w:div w:id="1719163907">
          <w:marLeft w:val="0"/>
          <w:marRight w:val="0"/>
          <w:marTop w:val="0"/>
          <w:marBottom w:val="0"/>
          <w:divBdr>
            <w:top w:val="none" w:sz="0" w:space="0" w:color="auto"/>
            <w:left w:val="none" w:sz="0" w:space="0" w:color="auto"/>
            <w:bottom w:val="none" w:sz="0" w:space="0" w:color="auto"/>
            <w:right w:val="none" w:sz="0" w:space="0" w:color="auto"/>
          </w:divBdr>
        </w:div>
        <w:div w:id="1720395347">
          <w:marLeft w:val="0"/>
          <w:marRight w:val="0"/>
          <w:marTop w:val="0"/>
          <w:marBottom w:val="0"/>
          <w:divBdr>
            <w:top w:val="none" w:sz="0" w:space="0" w:color="auto"/>
            <w:left w:val="none" w:sz="0" w:space="0" w:color="auto"/>
            <w:bottom w:val="none" w:sz="0" w:space="0" w:color="auto"/>
            <w:right w:val="none" w:sz="0" w:space="0" w:color="auto"/>
          </w:divBdr>
        </w:div>
        <w:div w:id="1734738908">
          <w:marLeft w:val="0"/>
          <w:marRight w:val="0"/>
          <w:marTop w:val="0"/>
          <w:marBottom w:val="0"/>
          <w:divBdr>
            <w:top w:val="none" w:sz="0" w:space="0" w:color="auto"/>
            <w:left w:val="none" w:sz="0" w:space="0" w:color="auto"/>
            <w:bottom w:val="none" w:sz="0" w:space="0" w:color="auto"/>
            <w:right w:val="none" w:sz="0" w:space="0" w:color="auto"/>
          </w:divBdr>
        </w:div>
        <w:div w:id="1748965517">
          <w:marLeft w:val="0"/>
          <w:marRight w:val="0"/>
          <w:marTop w:val="0"/>
          <w:marBottom w:val="0"/>
          <w:divBdr>
            <w:top w:val="none" w:sz="0" w:space="0" w:color="auto"/>
            <w:left w:val="none" w:sz="0" w:space="0" w:color="auto"/>
            <w:bottom w:val="none" w:sz="0" w:space="0" w:color="auto"/>
            <w:right w:val="none" w:sz="0" w:space="0" w:color="auto"/>
          </w:divBdr>
        </w:div>
        <w:div w:id="1758358542">
          <w:marLeft w:val="0"/>
          <w:marRight w:val="0"/>
          <w:marTop w:val="0"/>
          <w:marBottom w:val="0"/>
          <w:divBdr>
            <w:top w:val="none" w:sz="0" w:space="0" w:color="auto"/>
            <w:left w:val="none" w:sz="0" w:space="0" w:color="auto"/>
            <w:bottom w:val="none" w:sz="0" w:space="0" w:color="auto"/>
            <w:right w:val="none" w:sz="0" w:space="0" w:color="auto"/>
          </w:divBdr>
        </w:div>
        <w:div w:id="1762289770">
          <w:marLeft w:val="0"/>
          <w:marRight w:val="0"/>
          <w:marTop w:val="0"/>
          <w:marBottom w:val="0"/>
          <w:divBdr>
            <w:top w:val="none" w:sz="0" w:space="0" w:color="auto"/>
            <w:left w:val="none" w:sz="0" w:space="0" w:color="auto"/>
            <w:bottom w:val="none" w:sz="0" w:space="0" w:color="auto"/>
            <w:right w:val="none" w:sz="0" w:space="0" w:color="auto"/>
          </w:divBdr>
        </w:div>
        <w:div w:id="1780105729">
          <w:marLeft w:val="0"/>
          <w:marRight w:val="0"/>
          <w:marTop w:val="0"/>
          <w:marBottom w:val="0"/>
          <w:divBdr>
            <w:top w:val="none" w:sz="0" w:space="0" w:color="auto"/>
            <w:left w:val="none" w:sz="0" w:space="0" w:color="auto"/>
            <w:bottom w:val="none" w:sz="0" w:space="0" w:color="auto"/>
            <w:right w:val="none" w:sz="0" w:space="0" w:color="auto"/>
          </w:divBdr>
        </w:div>
        <w:div w:id="1782914548">
          <w:marLeft w:val="0"/>
          <w:marRight w:val="0"/>
          <w:marTop w:val="0"/>
          <w:marBottom w:val="0"/>
          <w:divBdr>
            <w:top w:val="none" w:sz="0" w:space="0" w:color="auto"/>
            <w:left w:val="none" w:sz="0" w:space="0" w:color="auto"/>
            <w:bottom w:val="none" w:sz="0" w:space="0" w:color="auto"/>
            <w:right w:val="none" w:sz="0" w:space="0" w:color="auto"/>
          </w:divBdr>
        </w:div>
        <w:div w:id="1795097229">
          <w:marLeft w:val="0"/>
          <w:marRight w:val="0"/>
          <w:marTop w:val="0"/>
          <w:marBottom w:val="0"/>
          <w:divBdr>
            <w:top w:val="none" w:sz="0" w:space="0" w:color="auto"/>
            <w:left w:val="none" w:sz="0" w:space="0" w:color="auto"/>
            <w:bottom w:val="none" w:sz="0" w:space="0" w:color="auto"/>
            <w:right w:val="none" w:sz="0" w:space="0" w:color="auto"/>
          </w:divBdr>
        </w:div>
        <w:div w:id="1804156302">
          <w:marLeft w:val="0"/>
          <w:marRight w:val="0"/>
          <w:marTop w:val="0"/>
          <w:marBottom w:val="0"/>
          <w:divBdr>
            <w:top w:val="none" w:sz="0" w:space="0" w:color="auto"/>
            <w:left w:val="none" w:sz="0" w:space="0" w:color="auto"/>
            <w:bottom w:val="none" w:sz="0" w:space="0" w:color="auto"/>
            <w:right w:val="none" w:sz="0" w:space="0" w:color="auto"/>
          </w:divBdr>
        </w:div>
        <w:div w:id="1807888338">
          <w:marLeft w:val="0"/>
          <w:marRight w:val="0"/>
          <w:marTop w:val="0"/>
          <w:marBottom w:val="0"/>
          <w:divBdr>
            <w:top w:val="none" w:sz="0" w:space="0" w:color="auto"/>
            <w:left w:val="none" w:sz="0" w:space="0" w:color="auto"/>
            <w:bottom w:val="none" w:sz="0" w:space="0" w:color="auto"/>
            <w:right w:val="none" w:sz="0" w:space="0" w:color="auto"/>
          </w:divBdr>
        </w:div>
        <w:div w:id="1808090090">
          <w:marLeft w:val="0"/>
          <w:marRight w:val="0"/>
          <w:marTop w:val="0"/>
          <w:marBottom w:val="0"/>
          <w:divBdr>
            <w:top w:val="none" w:sz="0" w:space="0" w:color="auto"/>
            <w:left w:val="none" w:sz="0" w:space="0" w:color="auto"/>
            <w:bottom w:val="none" w:sz="0" w:space="0" w:color="auto"/>
            <w:right w:val="none" w:sz="0" w:space="0" w:color="auto"/>
          </w:divBdr>
        </w:div>
        <w:div w:id="1815441365">
          <w:marLeft w:val="0"/>
          <w:marRight w:val="0"/>
          <w:marTop w:val="0"/>
          <w:marBottom w:val="0"/>
          <w:divBdr>
            <w:top w:val="none" w:sz="0" w:space="0" w:color="auto"/>
            <w:left w:val="none" w:sz="0" w:space="0" w:color="auto"/>
            <w:bottom w:val="none" w:sz="0" w:space="0" w:color="auto"/>
            <w:right w:val="none" w:sz="0" w:space="0" w:color="auto"/>
          </w:divBdr>
          <w:divsChild>
            <w:div w:id="107748633">
              <w:marLeft w:val="0"/>
              <w:marRight w:val="0"/>
              <w:marTop w:val="0"/>
              <w:marBottom w:val="0"/>
              <w:divBdr>
                <w:top w:val="none" w:sz="0" w:space="0" w:color="auto"/>
                <w:left w:val="none" w:sz="0" w:space="0" w:color="auto"/>
                <w:bottom w:val="none" w:sz="0" w:space="0" w:color="auto"/>
                <w:right w:val="none" w:sz="0" w:space="0" w:color="auto"/>
              </w:divBdr>
            </w:div>
            <w:div w:id="344751045">
              <w:marLeft w:val="0"/>
              <w:marRight w:val="0"/>
              <w:marTop w:val="0"/>
              <w:marBottom w:val="0"/>
              <w:divBdr>
                <w:top w:val="none" w:sz="0" w:space="0" w:color="auto"/>
                <w:left w:val="none" w:sz="0" w:space="0" w:color="auto"/>
                <w:bottom w:val="none" w:sz="0" w:space="0" w:color="auto"/>
                <w:right w:val="none" w:sz="0" w:space="0" w:color="auto"/>
              </w:divBdr>
            </w:div>
            <w:div w:id="689448635">
              <w:marLeft w:val="0"/>
              <w:marRight w:val="0"/>
              <w:marTop w:val="0"/>
              <w:marBottom w:val="0"/>
              <w:divBdr>
                <w:top w:val="none" w:sz="0" w:space="0" w:color="auto"/>
                <w:left w:val="none" w:sz="0" w:space="0" w:color="auto"/>
                <w:bottom w:val="none" w:sz="0" w:space="0" w:color="auto"/>
                <w:right w:val="none" w:sz="0" w:space="0" w:color="auto"/>
              </w:divBdr>
            </w:div>
            <w:div w:id="1451583976">
              <w:marLeft w:val="0"/>
              <w:marRight w:val="0"/>
              <w:marTop w:val="0"/>
              <w:marBottom w:val="0"/>
              <w:divBdr>
                <w:top w:val="none" w:sz="0" w:space="0" w:color="auto"/>
                <w:left w:val="none" w:sz="0" w:space="0" w:color="auto"/>
                <w:bottom w:val="none" w:sz="0" w:space="0" w:color="auto"/>
                <w:right w:val="none" w:sz="0" w:space="0" w:color="auto"/>
              </w:divBdr>
            </w:div>
          </w:divsChild>
        </w:div>
        <w:div w:id="1815637789">
          <w:marLeft w:val="0"/>
          <w:marRight w:val="0"/>
          <w:marTop w:val="0"/>
          <w:marBottom w:val="0"/>
          <w:divBdr>
            <w:top w:val="none" w:sz="0" w:space="0" w:color="auto"/>
            <w:left w:val="none" w:sz="0" w:space="0" w:color="auto"/>
            <w:bottom w:val="none" w:sz="0" w:space="0" w:color="auto"/>
            <w:right w:val="none" w:sz="0" w:space="0" w:color="auto"/>
          </w:divBdr>
        </w:div>
        <w:div w:id="1820265440">
          <w:marLeft w:val="0"/>
          <w:marRight w:val="0"/>
          <w:marTop w:val="0"/>
          <w:marBottom w:val="0"/>
          <w:divBdr>
            <w:top w:val="none" w:sz="0" w:space="0" w:color="auto"/>
            <w:left w:val="none" w:sz="0" w:space="0" w:color="auto"/>
            <w:bottom w:val="none" w:sz="0" w:space="0" w:color="auto"/>
            <w:right w:val="none" w:sz="0" w:space="0" w:color="auto"/>
          </w:divBdr>
        </w:div>
        <w:div w:id="1827091927">
          <w:marLeft w:val="0"/>
          <w:marRight w:val="0"/>
          <w:marTop w:val="0"/>
          <w:marBottom w:val="0"/>
          <w:divBdr>
            <w:top w:val="none" w:sz="0" w:space="0" w:color="auto"/>
            <w:left w:val="none" w:sz="0" w:space="0" w:color="auto"/>
            <w:bottom w:val="none" w:sz="0" w:space="0" w:color="auto"/>
            <w:right w:val="none" w:sz="0" w:space="0" w:color="auto"/>
          </w:divBdr>
        </w:div>
        <w:div w:id="1830053671">
          <w:marLeft w:val="0"/>
          <w:marRight w:val="0"/>
          <w:marTop w:val="0"/>
          <w:marBottom w:val="0"/>
          <w:divBdr>
            <w:top w:val="none" w:sz="0" w:space="0" w:color="auto"/>
            <w:left w:val="none" w:sz="0" w:space="0" w:color="auto"/>
            <w:bottom w:val="none" w:sz="0" w:space="0" w:color="auto"/>
            <w:right w:val="none" w:sz="0" w:space="0" w:color="auto"/>
          </w:divBdr>
          <w:divsChild>
            <w:div w:id="139228528">
              <w:marLeft w:val="0"/>
              <w:marRight w:val="0"/>
              <w:marTop w:val="0"/>
              <w:marBottom w:val="0"/>
              <w:divBdr>
                <w:top w:val="none" w:sz="0" w:space="0" w:color="auto"/>
                <w:left w:val="none" w:sz="0" w:space="0" w:color="auto"/>
                <w:bottom w:val="none" w:sz="0" w:space="0" w:color="auto"/>
                <w:right w:val="none" w:sz="0" w:space="0" w:color="auto"/>
              </w:divBdr>
            </w:div>
            <w:div w:id="200168707">
              <w:marLeft w:val="0"/>
              <w:marRight w:val="0"/>
              <w:marTop w:val="0"/>
              <w:marBottom w:val="0"/>
              <w:divBdr>
                <w:top w:val="none" w:sz="0" w:space="0" w:color="auto"/>
                <w:left w:val="none" w:sz="0" w:space="0" w:color="auto"/>
                <w:bottom w:val="none" w:sz="0" w:space="0" w:color="auto"/>
                <w:right w:val="none" w:sz="0" w:space="0" w:color="auto"/>
              </w:divBdr>
            </w:div>
            <w:div w:id="614025870">
              <w:marLeft w:val="0"/>
              <w:marRight w:val="0"/>
              <w:marTop w:val="0"/>
              <w:marBottom w:val="0"/>
              <w:divBdr>
                <w:top w:val="none" w:sz="0" w:space="0" w:color="auto"/>
                <w:left w:val="none" w:sz="0" w:space="0" w:color="auto"/>
                <w:bottom w:val="none" w:sz="0" w:space="0" w:color="auto"/>
                <w:right w:val="none" w:sz="0" w:space="0" w:color="auto"/>
              </w:divBdr>
            </w:div>
            <w:div w:id="1498108914">
              <w:marLeft w:val="0"/>
              <w:marRight w:val="0"/>
              <w:marTop w:val="0"/>
              <w:marBottom w:val="0"/>
              <w:divBdr>
                <w:top w:val="none" w:sz="0" w:space="0" w:color="auto"/>
                <w:left w:val="none" w:sz="0" w:space="0" w:color="auto"/>
                <w:bottom w:val="none" w:sz="0" w:space="0" w:color="auto"/>
                <w:right w:val="none" w:sz="0" w:space="0" w:color="auto"/>
              </w:divBdr>
            </w:div>
            <w:div w:id="2030334417">
              <w:marLeft w:val="0"/>
              <w:marRight w:val="0"/>
              <w:marTop w:val="0"/>
              <w:marBottom w:val="0"/>
              <w:divBdr>
                <w:top w:val="none" w:sz="0" w:space="0" w:color="auto"/>
                <w:left w:val="none" w:sz="0" w:space="0" w:color="auto"/>
                <w:bottom w:val="none" w:sz="0" w:space="0" w:color="auto"/>
                <w:right w:val="none" w:sz="0" w:space="0" w:color="auto"/>
              </w:divBdr>
            </w:div>
          </w:divsChild>
        </w:div>
        <w:div w:id="1846093572">
          <w:marLeft w:val="0"/>
          <w:marRight w:val="0"/>
          <w:marTop w:val="0"/>
          <w:marBottom w:val="0"/>
          <w:divBdr>
            <w:top w:val="none" w:sz="0" w:space="0" w:color="auto"/>
            <w:left w:val="none" w:sz="0" w:space="0" w:color="auto"/>
            <w:bottom w:val="none" w:sz="0" w:space="0" w:color="auto"/>
            <w:right w:val="none" w:sz="0" w:space="0" w:color="auto"/>
          </w:divBdr>
        </w:div>
        <w:div w:id="1848521677">
          <w:marLeft w:val="0"/>
          <w:marRight w:val="0"/>
          <w:marTop w:val="0"/>
          <w:marBottom w:val="0"/>
          <w:divBdr>
            <w:top w:val="none" w:sz="0" w:space="0" w:color="auto"/>
            <w:left w:val="none" w:sz="0" w:space="0" w:color="auto"/>
            <w:bottom w:val="none" w:sz="0" w:space="0" w:color="auto"/>
            <w:right w:val="none" w:sz="0" w:space="0" w:color="auto"/>
          </w:divBdr>
        </w:div>
        <w:div w:id="1853645175">
          <w:marLeft w:val="0"/>
          <w:marRight w:val="0"/>
          <w:marTop w:val="0"/>
          <w:marBottom w:val="0"/>
          <w:divBdr>
            <w:top w:val="none" w:sz="0" w:space="0" w:color="auto"/>
            <w:left w:val="none" w:sz="0" w:space="0" w:color="auto"/>
            <w:bottom w:val="none" w:sz="0" w:space="0" w:color="auto"/>
            <w:right w:val="none" w:sz="0" w:space="0" w:color="auto"/>
          </w:divBdr>
        </w:div>
        <w:div w:id="1862620685">
          <w:marLeft w:val="0"/>
          <w:marRight w:val="0"/>
          <w:marTop w:val="0"/>
          <w:marBottom w:val="0"/>
          <w:divBdr>
            <w:top w:val="none" w:sz="0" w:space="0" w:color="auto"/>
            <w:left w:val="none" w:sz="0" w:space="0" w:color="auto"/>
            <w:bottom w:val="none" w:sz="0" w:space="0" w:color="auto"/>
            <w:right w:val="none" w:sz="0" w:space="0" w:color="auto"/>
          </w:divBdr>
        </w:div>
        <w:div w:id="1873225813">
          <w:marLeft w:val="0"/>
          <w:marRight w:val="0"/>
          <w:marTop w:val="0"/>
          <w:marBottom w:val="0"/>
          <w:divBdr>
            <w:top w:val="none" w:sz="0" w:space="0" w:color="auto"/>
            <w:left w:val="none" w:sz="0" w:space="0" w:color="auto"/>
            <w:bottom w:val="none" w:sz="0" w:space="0" w:color="auto"/>
            <w:right w:val="none" w:sz="0" w:space="0" w:color="auto"/>
          </w:divBdr>
        </w:div>
        <w:div w:id="1885218305">
          <w:marLeft w:val="0"/>
          <w:marRight w:val="0"/>
          <w:marTop w:val="0"/>
          <w:marBottom w:val="0"/>
          <w:divBdr>
            <w:top w:val="none" w:sz="0" w:space="0" w:color="auto"/>
            <w:left w:val="none" w:sz="0" w:space="0" w:color="auto"/>
            <w:bottom w:val="none" w:sz="0" w:space="0" w:color="auto"/>
            <w:right w:val="none" w:sz="0" w:space="0" w:color="auto"/>
          </w:divBdr>
        </w:div>
        <w:div w:id="1890342794">
          <w:marLeft w:val="0"/>
          <w:marRight w:val="0"/>
          <w:marTop w:val="0"/>
          <w:marBottom w:val="0"/>
          <w:divBdr>
            <w:top w:val="none" w:sz="0" w:space="0" w:color="auto"/>
            <w:left w:val="none" w:sz="0" w:space="0" w:color="auto"/>
            <w:bottom w:val="none" w:sz="0" w:space="0" w:color="auto"/>
            <w:right w:val="none" w:sz="0" w:space="0" w:color="auto"/>
          </w:divBdr>
        </w:div>
        <w:div w:id="1892688481">
          <w:marLeft w:val="0"/>
          <w:marRight w:val="0"/>
          <w:marTop w:val="0"/>
          <w:marBottom w:val="0"/>
          <w:divBdr>
            <w:top w:val="none" w:sz="0" w:space="0" w:color="auto"/>
            <w:left w:val="none" w:sz="0" w:space="0" w:color="auto"/>
            <w:bottom w:val="none" w:sz="0" w:space="0" w:color="auto"/>
            <w:right w:val="none" w:sz="0" w:space="0" w:color="auto"/>
          </w:divBdr>
        </w:div>
        <w:div w:id="1898320535">
          <w:marLeft w:val="0"/>
          <w:marRight w:val="0"/>
          <w:marTop w:val="0"/>
          <w:marBottom w:val="0"/>
          <w:divBdr>
            <w:top w:val="none" w:sz="0" w:space="0" w:color="auto"/>
            <w:left w:val="none" w:sz="0" w:space="0" w:color="auto"/>
            <w:bottom w:val="none" w:sz="0" w:space="0" w:color="auto"/>
            <w:right w:val="none" w:sz="0" w:space="0" w:color="auto"/>
          </w:divBdr>
        </w:div>
        <w:div w:id="1902204939">
          <w:marLeft w:val="0"/>
          <w:marRight w:val="0"/>
          <w:marTop w:val="0"/>
          <w:marBottom w:val="0"/>
          <w:divBdr>
            <w:top w:val="none" w:sz="0" w:space="0" w:color="auto"/>
            <w:left w:val="none" w:sz="0" w:space="0" w:color="auto"/>
            <w:bottom w:val="none" w:sz="0" w:space="0" w:color="auto"/>
            <w:right w:val="none" w:sz="0" w:space="0" w:color="auto"/>
          </w:divBdr>
        </w:div>
        <w:div w:id="1903559037">
          <w:marLeft w:val="0"/>
          <w:marRight w:val="0"/>
          <w:marTop w:val="0"/>
          <w:marBottom w:val="0"/>
          <w:divBdr>
            <w:top w:val="none" w:sz="0" w:space="0" w:color="auto"/>
            <w:left w:val="none" w:sz="0" w:space="0" w:color="auto"/>
            <w:bottom w:val="none" w:sz="0" w:space="0" w:color="auto"/>
            <w:right w:val="none" w:sz="0" w:space="0" w:color="auto"/>
          </w:divBdr>
        </w:div>
        <w:div w:id="1912537494">
          <w:marLeft w:val="0"/>
          <w:marRight w:val="0"/>
          <w:marTop w:val="0"/>
          <w:marBottom w:val="0"/>
          <w:divBdr>
            <w:top w:val="none" w:sz="0" w:space="0" w:color="auto"/>
            <w:left w:val="none" w:sz="0" w:space="0" w:color="auto"/>
            <w:bottom w:val="none" w:sz="0" w:space="0" w:color="auto"/>
            <w:right w:val="none" w:sz="0" w:space="0" w:color="auto"/>
          </w:divBdr>
        </w:div>
        <w:div w:id="1913349788">
          <w:marLeft w:val="0"/>
          <w:marRight w:val="0"/>
          <w:marTop w:val="0"/>
          <w:marBottom w:val="0"/>
          <w:divBdr>
            <w:top w:val="none" w:sz="0" w:space="0" w:color="auto"/>
            <w:left w:val="none" w:sz="0" w:space="0" w:color="auto"/>
            <w:bottom w:val="none" w:sz="0" w:space="0" w:color="auto"/>
            <w:right w:val="none" w:sz="0" w:space="0" w:color="auto"/>
          </w:divBdr>
        </w:div>
        <w:div w:id="1923224114">
          <w:marLeft w:val="0"/>
          <w:marRight w:val="0"/>
          <w:marTop w:val="0"/>
          <w:marBottom w:val="0"/>
          <w:divBdr>
            <w:top w:val="none" w:sz="0" w:space="0" w:color="auto"/>
            <w:left w:val="none" w:sz="0" w:space="0" w:color="auto"/>
            <w:bottom w:val="none" w:sz="0" w:space="0" w:color="auto"/>
            <w:right w:val="none" w:sz="0" w:space="0" w:color="auto"/>
          </w:divBdr>
        </w:div>
        <w:div w:id="1935242365">
          <w:marLeft w:val="0"/>
          <w:marRight w:val="0"/>
          <w:marTop w:val="0"/>
          <w:marBottom w:val="0"/>
          <w:divBdr>
            <w:top w:val="none" w:sz="0" w:space="0" w:color="auto"/>
            <w:left w:val="none" w:sz="0" w:space="0" w:color="auto"/>
            <w:bottom w:val="none" w:sz="0" w:space="0" w:color="auto"/>
            <w:right w:val="none" w:sz="0" w:space="0" w:color="auto"/>
          </w:divBdr>
        </w:div>
        <w:div w:id="1940260262">
          <w:marLeft w:val="0"/>
          <w:marRight w:val="0"/>
          <w:marTop w:val="0"/>
          <w:marBottom w:val="0"/>
          <w:divBdr>
            <w:top w:val="none" w:sz="0" w:space="0" w:color="auto"/>
            <w:left w:val="none" w:sz="0" w:space="0" w:color="auto"/>
            <w:bottom w:val="none" w:sz="0" w:space="0" w:color="auto"/>
            <w:right w:val="none" w:sz="0" w:space="0" w:color="auto"/>
          </w:divBdr>
        </w:div>
        <w:div w:id="1945191271">
          <w:marLeft w:val="0"/>
          <w:marRight w:val="0"/>
          <w:marTop w:val="0"/>
          <w:marBottom w:val="0"/>
          <w:divBdr>
            <w:top w:val="none" w:sz="0" w:space="0" w:color="auto"/>
            <w:left w:val="none" w:sz="0" w:space="0" w:color="auto"/>
            <w:bottom w:val="none" w:sz="0" w:space="0" w:color="auto"/>
            <w:right w:val="none" w:sz="0" w:space="0" w:color="auto"/>
          </w:divBdr>
        </w:div>
        <w:div w:id="1947499908">
          <w:marLeft w:val="0"/>
          <w:marRight w:val="0"/>
          <w:marTop w:val="0"/>
          <w:marBottom w:val="0"/>
          <w:divBdr>
            <w:top w:val="none" w:sz="0" w:space="0" w:color="auto"/>
            <w:left w:val="none" w:sz="0" w:space="0" w:color="auto"/>
            <w:bottom w:val="none" w:sz="0" w:space="0" w:color="auto"/>
            <w:right w:val="none" w:sz="0" w:space="0" w:color="auto"/>
          </w:divBdr>
        </w:div>
        <w:div w:id="1969965728">
          <w:marLeft w:val="0"/>
          <w:marRight w:val="0"/>
          <w:marTop w:val="0"/>
          <w:marBottom w:val="0"/>
          <w:divBdr>
            <w:top w:val="none" w:sz="0" w:space="0" w:color="auto"/>
            <w:left w:val="none" w:sz="0" w:space="0" w:color="auto"/>
            <w:bottom w:val="none" w:sz="0" w:space="0" w:color="auto"/>
            <w:right w:val="none" w:sz="0" w:space="0" w:color="auto"/>
          </w:divBdr>
          <w:divsChild>
            <w:div w:id="71634248">
              <w:marLeft w:val="0"/>
              <w:marRight w:val="0"/>
              <w:marTop w:val="0"/>
              <w:marBottom w:val="0"/>
              <w:divBdr>
                <w:top w:val="none" w:sz="0" w:space="0" w:color="auto"/>
                <w:left w:val="none" w:sz="0" w:space="0" w:color="auto"/>
                <w:bottom w:val="none" w:sz="0" w:space="0" w:color="auto"/>
                <w:right w:val="none" w:sz="0" w:space="0" w:color="auto"/>
              </w:divBdr>
            </w:div>
            <w:div w:id="343943913">
              <w:marLeft w:val="0"/>
              <w:marRight w:val="0"/>
              <w:marTop w:val="0"/>
              <w:marBottom w:val="0"/>
              <w:divBdr>
                <w:top w:val="none" w:sz="0" w:space="0" w:color="auto"/>
                <w:left w:val="none" w:sz="0" w:space="0" w:color="auto"/>
                <w:bottom w:val="none" w:sz="0" w:space="0" w:color="auto"/>
                <w:right w:val="none" w:sz="0" w:space="0" w:color="auto"/>
              </w:divBdr>
            </w:div>
            <w:div w:id="441263893">
              <w:marLeft w:val="0"/>
              <w:marRight w:val="0"/>
              <w:marTop w:val="0"/>
              <w:marBottom w:val="0"/>
              <w:divBdr>
                <w:top w:val="none" w:sz="0" w:space="0" w:color="auto"/>
                <w:left w:val="none" w:sz="0" w:space="0" w:color="auto"/>
                <w:bottom w:val="none" w:sz="0" w:space="0" w:color="auto"/>
                <w:right w:val="none" w:sz="0" w:space="0" w:color="auto"/>
              </w:divBdr>
            </w:div>
            <w:div w:id="469716544">
              <w:marLeft w:val="0"/>
              <w:marRight w:val="0"/>
              <w:marTop w:val="0"/>
              <w:marBottom w:val="0"/>
              <w:divBdr>
                <w:top w:val="none" w:sz="0" w:space="0" w:color="auto"/>
                <w:left w:val="none" w:sz="0" w:space="0" w:color="auto"/>
                <w:bottom w:val="none" w:sz="0" w:space="0" w:color="auto"/>
                <w:right w:val="none" w:sz="0" w:space="0" w:color="auto"/>
              </w:divBdr>
            </w:div>
            <w:div w:id="2054231495">
              <w:marLeft w:val="0"/>
              <w:marRight w:val="0"/>
              <w:marTop w:val="0"/>
              <w:marBottom w:val="0"/>
              <w:divBdr>
                <w:top w:val="none" w:sz="0" w:space="0" w:color="auto"/>
                <w:left w:val="none" w:sz="0" w:space="0" w:color="auto"/>
                <w:bottom w:val="none" w:sz="0" w:space="0" w:color="auto"/>
                <w:right w:val="none" w:sz="0" w:space="0" w:color="auto"/>
              </w:divBdr>
            </w:div>
          </w:divsChild>
        </w:div>
        <w:div w:id="1970281169">
          <w:marLeft w:val="0"/>
          <w:marRight w:val="0"/>
          <w:marTop w:val="0"/>
          <w:marBottom w:val="0"/>
          <w:divBdr>
            <w:top w:val="none" w:sz="0" w:space="0" w:color="auto"/>
            <w:left w:val="none" w:sz="0" w:space="0" w:color="auto"/>
            <w:bottom w:val="none" w:sz="0" w:space="0" w:color="auto"/>
            <w:right w:val="none" w:sz="0" w:space="0" w:color="auto"/>
          </w:divBdr>
        </w:div>
        <w:div w:id="1973711464">
          <w:marLeft w:val="0"/>
          <w:marRight w:val="0"/>
          <w:marTop w:val="0"/>
          <w:marBottom w:val="0"/>
          <w:divBdr>
            <w:top w:val="none" w:sz="0" w:space="0" w:color="auto"/>
            <w:left w:val="none" w:sz="0" w:space="0" w:color="auto"/>
            <w:bottom w:val="none" w:sz="0" w:space="0" w:color="auto"/>
            <w:right w:val="none" w:sz="0" w:space="0" w:color="auto"/>
          </w:divBdr>
        </w:div>
        <w:div w:id="1978413553">
          <w:marLeft w:val="0"/>
          <w:marRight w:val="0"/>
          <w:marTop w:val="0"/>
          <w:marBottom w:val="0"/>
          <w:divBdr>
            <w:top w:val="none" w:sz="0" w:space="0" w:color="auto"/>
            <w:left w:val="none" w:sz="0" w:space="0" w:color="auto"/>
            <w:bottom w:val="none" w:sz="0" w:space="0" w:color="auto"/>
            <w:right w:val="none" w:sz="0" w:space="0" w:color="auto"/>
          </w:divBdr>
        </w:div>
        <w:div w:id="1983391424">
          <w:marLeft w:val="0"/>
          <w:marRight w:val="0"/>
          <w:marTop w:val="0"/>
          <w:marBottom w:val="0"/>
          <w:divBdr>
            <w:top w:val="none" w:sz="0" w:space="0" w:color="auto"/>
            <w:left w:val="none" w:sz="0" w:space="0" w:color="auto"/>
            <w:bottom w:val="none" w:sz="0" w:space="0" w:color="auto"/>
            <w:right w:val="none" w:sz="0" w:space="0" w:color="auto"/>
          </w:divBdr>
        </w:div>
        <w:div w:id="1985311759">
          <w:marLeft w:val="0"/>
          <w:marRight w:val="0"/>
          <w:marTop w:val="0"/>
          <w:marBottom w:val="0"/>
          <w:divBdr>
            <w:top w:val="none" w:sz="0" w:space="0" w:color="auto"/>
            <w:left w:val="none" w:sz="0" w:space="0" w:color="auto"/>
            <w:bottom w:val="none" w:sz="0" w:space="0" w:color="auto"/>
            <w:right w:val="none" w:sz="0" w:space="0" w:color="auto"/>
          </w:divBdr>
        </w:div>
        <w:div w:id="1988589364">
          <w:marLeft w:val="0"/>
          <w:marRight w:val="0"/>
          <w:marTop w:val="0"/>
          <w:marBottom w:val="0"/>
          <w:divBdr>
            <w:top w:val="none" w:sz="0" w:space="0" w:color="auto"/>
            <w:left w:val="none" w:sz="0" w:space="0" w:color="auto"/>
            <w:bottom w:val="none" w:sz="0" w:space="0" w:color="auto"/>
            <w:right w:val="none" w:sz="0" w:space="0" w:color="auto"/>
          </w:divBdr>
        </w:div>
        <w:div w:id="1991252399">
          <w:marLeft w:val="0"/>
          <w:marRight w:val="0"/>
          <w:marTop w:val="0"/>
          <w:marBottom w:val="0"/>
          <w:divBdr>
            <w:top w:val="none" w:sz="0" w:space="0" w:color="auto"/>
            <w:left w:val="none" w:sz="0" w:space="0" w:color="auto"/>
            <w:bottom w:val="none" w:sz="0" w:space="0" w:color="auto"/>
            <w:right w:val="none" w:sz="0" w:space="0" w:color="auto"/>
          </w:divBdr>
        </w:div>
        <w:div w:id="2009478538">
          <w:marLeft w:val="0"/>
          <w:marRight w:val="0"/>
          <w:marTop w:val="0"/>
          <w:marBottom w:val="0"/>
          <w:divBdr>
            <w:top w:val="none" w:sz="0" w:space="0" w:color="auto"/>
            <w:left w:val="none" w:sz="0" w:space="0" w:color="auto"/>
            <w:bottom w:val="none" w:sz="0" w:space="0" w:color="auto"/>
            <w:right w:val="none" w:sz="0" w:space="0" w:color="auto"/>
          </w:divBdr>
        </w:div>
        <w:div w:id="2031643545">
          <w:marLeft w:val="0"/>
          <w:marRight w:val="0"/>
          <w:marTop w:val="0"/>
          <w:marBottom w:val="0"/>
          <w:divBdr>
            <w:top w:val="none" w:sz="0" w:space="0" w:color="auto"/>
            <w:left w:val="none" w:sz="0" w:space="0" w:color="auto"/>
            <w:bottom w:val="none" w:sz="0" w:space="0" w:color="auto"/>
            <w:right w:val="none" w:sz="0" w:space="0" w:color="auto"/>
          </w:divBdr>
        </w:div>
        <w:div w:id="2031953268">
          <w:marLeft w:val="0"/>
          <w:marRight w:val="0"/>
          <w:marTop w:val="0"/>
          <w:marBottom w:val="0"/>
          <w:divBdr>
            <w:top w:val="none" w:sz="0" w:space="0" w:color="auto"/>
            <w:left w:val="none" w:sz="0" w:space="0" w:color="auto"/>
            <w:bottom w:val="none" w:sz="0" w:space="0" w:color="auto"/>
            <w:right w:val="none" w:sz="0" w:space="0" w:color="auto"/>
          </w:divBdr>
        </w:div>
        <w:div w:id="2032296584">
          <w:marLeft w:val="0"/>
          <w:marRight w:val="0"/>
          <w:marTop w:val="0"/>
          <w:marBottom w:val="0"/>
          <w:divBdr>
            <w:top w:val="none" w:sz="0" w:space="0" w:color="auto"/>
            <w:left w:val="none" w:sz="0" w:space="0" w:color="auto"/>
            <w:bottom w:val="none" w:sz="0" w:space="0" w:color="auto"/>
            <w:right w:val="none" w:sz="0" w:space="0" w:color="auto"/>
          </w:divBdr>
        </w:div>
        <w:div w:id="2034263553">
          <w:marLeft w:val="0"/>
          <w:marRight w:val="0"/>
          <w:marTop w:val="0"/>
          <w:marBottom w:val="0"/>
          <w:divBdr>
            <w:top w:val="none" w:sz="0" w:space="0" w:color="auto"/>
            <w:left w:val="none" w:sz="0" w:space="0" w:color="auto"/>
            <w:bottom w:val="none" w:sz="0" w:space="0" w:color="auto"/>
            <w:right w:val="none" w:sz="0" w:space="0" w:color="auto"/>
          </w:divBdr>
        </w:div>
        <w:div w:id="2057701363">
          <w:marLeft w:val="0"/>
          <w:marRight w:val="0"/>
          <w:marTop w:val="0"/>
          <w:marBottom w:val="0"/>
          <w:divBdr>
            <w:top w:val="none" w:sz="0" w:space="0" w:color="auto"/>
            <w:left w:val="none" w:sz="0" w:space="0" w:color="auto"/>
            <w:bottom w:val="none" w:sz="0" w:space="0" w:color="auto"/>
            <w:right w:val="none" w:sz="0" w:space="0" w:color="auto"/>
          </w:divBdr>
        </w:div>
        <w:div w:id="2062555605">
          <w:marLeft w:val="0"/>
          <w:marRight w:val="0"/>
          <w:marTop w:val="0"/>
          <w:marBottom w:val="0"/>
          <w:divBdr>
            <w:top w:val="none" w:sz="0" w:space="0" w:color="auto"/>
            <w:left w:val="none" w:sz="0" w:space="0" w:color="auto"/>
            <w:bottom w:val="none" w:sz="0" w:space="0" w:color="auto"/>
            <w:right w:val="none" w:sz="0" w:space="0" w:color="auto"/>
          </w:divBdr>
        </w:div>
        <w:div w:id="2066678033">
          <w:marLeft w:val="0"/>
          <w:marRight w:val="0"/>
          <w:marTop w:val="0"/>
          <w:marBottom w:val="0"/>
          <w:divBdr>
            <w:top w:val="none" w:sz="0" w:space="0" w:color="auto"/>
            <w:left w:val="none" w:sz="0" w:space="0" w:color="auto"/>
            <w:bottom w:val="none" w:sz="0" w:space="0" w:color="auto"/>
            <w:right w:val="none" w:sz="0" w:space="0" w:color="auto"/>
          </w:divBdr>
        </w:div>
        <w:div w:id="2088334031">
          <w:marLeft w:val="0"/>
          <w:marRight w:val="0"/>
          <w:marTop w:val="0"/>
          <w:marBottom w:val="0"/>
          <w:divBdr>
            <w:top w:val="none" w:sz="0" w:space="0" w:color="auto"/>
            <w:left w:val="none" w:sz="0" w:space="0" w:color="auto"/>
            <w:bottom w:val="none" w:sz="0" w:space="0" w:color="auto"/>
            <w:right w:val="none" w:sz="0" w:space="0" w:color="auto"/>
          </w:divBdr>
        </w:div>
        <w:div w:id="2090076815">
          <w:marLeft w:val="0"/>
          <w:marRight w:val="0"/>
          <w:marTop w:val="0"/>
          <w:marBottom w:val="0"/>
          <w:divBdr>
            <w:top w:val="none" w:sz="0" w:space="0" w:color="auto"/>
            <w:left w:val="none" w:sz="0" w:space="0" w:color="auto"/>
            <w:bottom w:val="none" w:sz="0" w:space="0" w:color="auto"/>
            <w:right w:val="none" w:sz="0" w:space="0" w:color="auto"/>
          </w:divBdr>
        </w:div>
        <w:div w:id="2099208167">
          <w:marLeft w:val="0"/>
          <w:marRight w:val="0"/>
          <w:marTop w:val="0"/>
          <w:marBottom w:val="0"/>
          <w:divBdr>
            <w:top w:val="none" w:sz="0" w:space="0" w:color="auto"/>
            <w:left w:val="none" w:sz="0" w:space="0" w:color="auto"/>
            <w:bottom w:val="none" w:sz="0" w:space="0" w:color="auto"/>
            <w:right w:val="none" w:sz="0" w:space="0" w:color="auto"/>
          </w:divBdr>
        </w:div>
        <w:div w:id="2102945963">
          <w:marLeft w:val="0"/>
          <w:marRight w:val="0"/>
          <w:marTop w:val="0"/>
          <w:marBottom w:val="0"/>
          <w:divBdr>
            <w:top w:val="none" w:sz="0" w:space="0" w:color="auto"/>
            <w:left w:val="none" w:sz="0" w:space="0" w:color="auto"/>
            <w:bottom w:val="none" w:sz="0" w:space="0" w:color="auto"/>
            <w:right w:val="none" w:sz="0" w:space="0" w:color="auto"/>
          </w:divBdr>
        </w:div>
        <w:div w:id="2104832762">
          <w:marLeft w:val="0"/>
          <w:marRight w:val="0"/>
          <w:marTop w:val="0"/>
          <w:marBottom w:val="0"/>
          <w:divBdr>
            <w:top w:val="none" w:sz="0" w:space="0" w:color="auto"/>
            <w:left w:val="none" w:sz="0" w:space="0" w:color="auto"/>
            <w:bottom w:val="none" w:sz="0" w:space="0" w:color="auto"/>
            <w:right w:val="none" w:sz="0" w:space="0" w:color="auto"/>
          </w:divBdr>
        </w:div>
        <w:div w:id="2115785486">
          <w:marLeft w:val="0"/>
          <w:marRight w:val="0"/>
          <w:marTop w:val="0"/>
          <w:marBottom w:val="0"/>
          <w:divBdr>
            <w:top w:val="none" w:sz="0" w:space="0" w:color="auto"/>
            <w:left w:val="none" w:sz="0" w:space="0" w:color="auto"/>
            <w:bottom w:val="none" w:sz="0" w:space="0" w:color="auto"/>
            <w:right w:val="none" w:sz="0" w:space="0" w:color="auto"/>
          </w:divBdr>
        </w:div>
        <w:div w:id="2144958768">
          <w:marLeft w:val="0"/>
          <w:marRight w:val="0"/>
          <w:marTop w:val="0"/>
          <w:marBottom w:val="0"/>
          <w:divBdr>
            <w:top w:val="none" w:sz="0" w:space="0" w:color="auto"/>
            <w:left w:val="none" w:sz="0" w:space="0" w:color="auto"/>
            <w:bottom w:val="none" w:sz="0" w:space="0" w:color="auto"/>
            <w:right w:val="none" w:sz="0" w:space="0" w:color="auto"/>
          </w:divBdr>
          <w:divsChild>
            <w:div w:id="273560449">
              <w:marLeft w:val="0"/>
              <w:marRight w:val="0"/>
              <w:marTop w:val="0"/>
              <w:marBottom w:val="0"/>
              <w:divBdr>
                <w:top w:val="none" w:sz="0" w:space="0" w:color="auto"/>
                <w:left w:val="none" w:sz="0" w:space="0" w:color="auto"/>
                <w:bottom w:val="none" w:sz="0" w:space="0" w:color="auto"/>
                <w:right w:val="none" w:sz="0" w:space="0" w:color="auto"/>
              </w:divBdr>
              <w:divsChild>
                <w:div w:id="1332371670">
                  <w:marLeft w:val="-75"/>
                  <w:marRight w:val="0"/>
                  <w:marTop w:val="30"/>
                  <w:marBottom w:val="30"/>
                  <w:divBdr>
                    <w:top w:val="none" w:sz="0" w:space="0" w:color="auto"/>
                    <w:left w:val="none" w:sz="0" w:space="0" w:color="auto"/>
                    <w:bottom w:val="none" w:sz="0" w:space="0" w:color="auto"/>
                    <w:right w:val="none" w:sz="0" w:space="0" w:color="auto"/>
                  </w:divBdr>
                  <w:divsChild>
                    <w:div w:id="1279222652">
                      <w:marLeft w:val="0"/>
                      <w:marRight w:val="0"/>
                      <w:marTop w:val="0"/>
                      <w:marBottom w:val="0"/>
                      <w:divBdr>
                        <w:top w:val="none" w:sz="0" w:space="0" w:color="auto"/>
                        <w:left w:val="none" w:sz="0" w:space="0" w:color="auto"/>
                        <w:bottom w:val="none" w:sz="0" w:space="0" w:color="auto"/>
                        <w:right w:val="none" w:sz="0" w:space="0" w:color="auto"/>
                      </w:divBdr>
                      <w:divsChild>
                        <w:div w:id="1834567036">
                          <w:marLeft w:val="0"/>
                          <w:marRight w:val="0"/>
                          <w:marTop w:val="0"/>
                          <w:marBottom w:val="0"/>
                          <w:divBdr>
                            <w:top w:val="none" w:sz="0" w:space="0" w:color="auto"/>
                            <w:left w:val="none" w:sz="0" w:space="0" w:color="auto"/>
                            <w:bottom w:val="none" w:sz="0" w:space="0" w:color="auto"/>
                            <w:right w:val="none" w:sz="0" w:space="0" w:color="auto"/>
                          </w:divBdr>
                        </w:div>
                      </w:divsChild>
                    </w:div>
                    <w:div w:id="1588921200">
                      <w:marLeft w:val="0"/>
                      <w:marRight w:val="0"/>
                      <w:marTop w:val="0"/>
                      <w:marBottom w:val="0"/>
                      <w:divBdr>
                        <w:top w:val="none" w:sz="0" w:space="0" w:color="auto"/>
                        <w:left w:val="none" w:sz="0" w:space="0" w:color="auto"/>
                        <w:bottom w:val="none" w:sz="0" w:space="0" w:color="auto"/>
                        <w:right w:val="none" w:sz="0" w:space="0" w:color="auto"/>
                      </w:divBdr>
                      <w:divsChild>
                        <w:div w:id="1664119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760697">
              <w:marLeft w:val="0"/>
              <w:marRight w:val="0"/>
              <w:marTop w:val="0"/>
              <w:marBottom w:val="0"/>
              <w:divBdr>
                <w:top w:val="none" w:sz="0" w:space="0" w:color="auto"/>
                <w:left w:val="none" w:sz="0" w:space="0" w:color="auto"/>
                <w:bottom w:val="none" w:sz="0" w:space="0" w:color="auto"/>
                <w:right w:val="none" w:sz="0" w:space="0" w:color="auto"/>
              </w:divBdr>
            </w:div>
            <w:div w:id="523835381">
              <w:marLeft w:val="0"/>
              <w:marRight w:val="0"/>
              <w:marTop w:val="0"/>
              <w:marBottom w:val="0"/>
              <w:divBdr>
                <w:top w:val="none" w:sz="0" w:space="0" w:color="auto"/>
                <w:left w:val="none" w:sz="0" w:space="0" w:color="auto"/>
                <w:bottom w:val="none" w:sz="0" w:space="0" w:color="auto"/>
                <w:right w:val="none" w:sz="0" w:space="0" w:color="auto"/>
              </w:divBdr>
            </w:div>
            <w:div w:id="659189535">
              <w:marLeft w:val="0"/>
              <w:marRight w:val="0"/>
              <w:marTop w:val="0"/>
              <w:marBottom w:val="0"/>
              <w:divBdr>
                <w:top w:val="none" w:sz="0" w:space="0" w:color="auto"/>
                <w:left w:val="none" w:sz="0" w:space="0" w:color="auto"/>
                <w:bottom w:val="none" w:sz="0" w:space="0" w:color="auto"/>
                <w:right w:val="none" w:sz="0" w:space="0" w:color="auto"/>
              </w:divBdr>
            </w:div>
            <w:div w:id="105408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871749">
      <w:bodyDiv w:val="1"/>
      <w:marLeft w:val="0"/>
      <w:marRight w:val="0"/>
      <w:marTop w:val="0"/>
      <w:marBottom w:val="0"/>
      <w:divBdr>
        <w:top w:val="none" w:sz="0" w:space="0" w:color="auto"/>
        <w:left w:val="none" w:sz="0" w:space="0" w:color="auto"/>
        <w:bottom w:val="none" w:sz="0" w:space="0" w:color="auto"/>
        <w:right w:val="none" w:sz="0" w:space="0" w:color="auto"/>
      </w:divBdr>
    </w:div>
    <w:div w:id="2115787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unpri.org/reporting-definitions" TargetMode="External"/><Relationship Id="rId21" Type="http://schemas.openxmlformats.org/officeDocument/2006/relationships/hyperlink" Target="https://www.unpri.org/reporting-definitions" TargetMode="External"/><Relationship Id="rId42" Type="http://schemas.openxmlformats.org/officeDocument/2006/relationships/hyperlink" Target="https://www.unpri.org/reporting-and-assessment/reporting-framework-glossary/6937.article" TargetMode="External"/><Relationship Id="rId47" Type="http://schemas.openxmlformats.org/officeDocument/2006/relationships/hyperlink" Target="https://www.unpri.org/reporting-definitions" TargetMode="External"/><Relationship Id="rId63" Type="http://schemas.openxmlformats.org/officeDocument/2006/relationships/hyperlink" Target="https://www.unpri.org/hedge-funds/technical-guide-esg-incorporation-in-hedge-funds/5729.article" TargetMode="External"/><Relationship Id="rId68" Type="http://schemas.openxmlformats.org/officeDocument/2006/relationships/hyperlink" Target="https://www.unpri.org/reporting-definitions" TargetMode="External"/><Relationship Id="rId16" Type="http://schemas.openxmlformats.org/officeDocument/2006/relationships/hyperlink" Target="https://www.unpri.org/reporting-definitions" TargetMode="External"/><Relationship Id="rId11" Type="http://schemas.openxmlformats.org/officeDocument/2006/relationships/image" Target="media/image1.png"/><Relationship Id="rId32" Type="http://schemas.openxmlformats.org/officeDocument/2006/relationships/hyperlink" Target="https://www.unpri.org/reporting-and-assessment/reporting-framework-glossary/6937.article" TargetMode="External"/><Relationship Id="rId37" Type="http://schemas.openxmlformats.org/officeDocument/2006/relationships/hyperlink" Target="https://www.unpri.org/reporting-definitions" TargetMode="External"/><Relationship Id="rId53" Type="http://schemas.openxmlformats.org/officeDocument/2006/relationships/hyperlink" Target="https://www.unpri.org/reporting-and-assessment/reporting-framework-glossary/6937.article" TargetMode="External"/><Relationship Id="rId58" Type="http://schemas.openxmlformats.org/officeDocument/2006/relationships/hyperlink" Target="https://www.unpri.org/reporting-and-assessment/reporting-framework-glossary/6937.article" TargetMode="External"/><Relationship Id="rId74" Type="http://schemas.openxmlformats.org/officeDocument/2006/relationships/hyperlink" Target="https://www.unpri.org/reporting-and-assessment/reporting-framework-glossary/6937.article" TargetMode="External"/><Relationship Id="rId79" Type="http://schemas.openxmlformats.org/officeDocument/2006/relationships/header" Target="header1.xml"/><Relationship Id="rId5" Type="http://schemas.openxmlformats.org/officeDocument/2006/relationships/numbering" Target="numbering.xml"/><Relationship Id="rId61" Type="http://schemas.openxmlformats.org/officeDocument/2006/relationships/hyperlink" Target="https://www.unpri.org/reporting-definitions" TargetMode="External"/><Relationship Id="rId82" Type="http://schemas.openxmlformats.org/officeDocument/2006/relationships/theme" Target="theme/theme1.xml"/><Relationship Id="rId19" Type="http://schemas.openxmlformats.org/officeDocument/2006/relationships/hyperlink" Target="https://www.unpri.org/hedge-funds/technical-guide-esg-incorporation-in-hedge-funds/5729.article" TargetMode="External"/><Relationship Id="rId14" Type="http://schemas.openxmlformats.org/officeDocument/2006/relationships/hyperlink" Target="https://www.unpri.org/reporting-definitions" TargetMode="External"/><Relationship Id="rId22" Type="http://schemas.openxmlformats.org/officeDocument/2006/relationships/hyperlink" Target="https://www.unpri.org/reporting-definitions" TargetMode="External"/><Relationship Id="rId27" Type="http://schemas.openxmlformats.org/officeDocument/2006/relationships/hyperlink" Target="https://www.unpri.org/reporting-and-assessment/reporting-framework-glossary/6937.article" TargetMode="External"/><Relationship Id="rId30" Type="http://schemas.openxmlformats.org/officeDocument/2006/relationships/hyperlink" Target="https://www.unpri.org/reporting-and-assessment/reporting-framework-glossary/6937.article" TargetMode="External"/><Relationship Id="rId35" Type="http://schemas.openxmlformats.org/officeDocument/2006/relationships/hyperlink" Target="https://www.unpri.org/hedge-funds/technical-guide-esg-incorporation-in-hedge-funds/5729.article" TargetMode="External"/><Relationship Id="rId43" Type="http://schemas.openxmlformats.org/officeDocument/2006/relationships/hyperlink" Target="https://www.unpri.org/reporting-and-assessment/reporting-framework-glossary/6937.article" TargetMode="External"/><Relationship Id="rId48" Type="http://schemas.openxmlformats.org/officeDocument/2006/relationships/hyperlink" Target="https://www.unpri.org/reporting-definitions" TargetMode="External"/><Relationship Id="rId56" Type="http://schemas.openxmlformats.org/officeDocument/2006/relationships/hyperlink" Target="https://www.unpri.org/reporting-and-assessment/reporting-framework-glossary/6937.article" TargetMode="External"/><Relationship Id="rId64" Type="http://schemas.openxmlformats.org/officeDocument/2006/relationships/hyperlink" Target="https://www.unpri.org/hedge-funds/technical-guide-esg-incorporation-in-hedge-funds/5729.article" TargetMode="External"/><Relationship Id="rId69" Type="http://schemas.openxmlformats.org/officeDocument/2006/relationships/hyperlink" Target="https://www.unpri.org/reporting-and-assessment/reporting-framework-glossary/6937.article" TargetMode="External"/><Relationship Id="rId77" Type="http://schemas.openxmlformats.org/officeDocument/2006/relationships/hyperlink" Target="https://www.unpri.org/hedge-funds/technical-guide-esg-incorporation-in-hedge-funds/5729.article" TargetMode="External"/><Relationship Id="rId8" Type="http://schemas.openxmlformats.org/officeDocument/2006/relationships/webSettings" Target="webSettings.xml"/><Relationship Id="rId51" Type="http://schemas.openxmlformats.org/officeDocument/2006/relationships/hyperlink" Target="https://www.unpri.org/reporting-definitions" TargetMode="External"/><Relationship Id="rId72" Type="http://schemas.openxmlformats.org/officeDocument/2006/relationships/hyperlink" Target="https://www.unpri.org/reporting-and-assessment/reporting-framework-glossary/6937.article" TargetMode="External"/><Relationship Id="rId80" Type="http://schemas.openxmlformats.org/officeDocument/2006/relationships/footer" Target="footer2.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yperlink" Target="https://www.unpri.org/an-introduction-to-responsible-investment/an-introduction-to-responsible-investment-policy-structure-and-process/4917.article" TargetMode="External"/><Relationship Id="rId25" Type="http://schemas.openxmlformats.org/officeDocument/2006/relationships/hyperlink" Target="https://www.unpri.org/hedge-funds/technical-guide-esg-incorporation-in-hedge-funds/5729.article" TargetMode="External"/><Relationship Id="rId33" Type="http://schemas.openxmlformats.org/officeDocument/2006/relationships/hyperlink" Target="https://www.unpri.org/reporting-definitions" TargetMode="External"/><Relationship Id="rId38" Type="http://schemas.openxmlformats.org/officeDocument/2006/relationships/hyperlink" Target="https://www.unpri.org/reporting-and-assessment/reporting-framework-glossary/6937.article" TargetMode="External"/><Relationship Id="rId46" Type="http://schemas.openxmlformats.org/officeDocument/2006/relationships/hyperlink" Target="https://www.unpri.org/hedge-funds/technical-guide-esg-incorporation-in-hedge-funds/5729.article" TargetMode="External"/><Relationship Id="rId59" Type="http://schemas.openxmlformats.org/officeDocument/2006/relationships/hyperlink" Target="https://www.unpri.org/hedge-funds/technical-guide-esg-incorporation-in-hedge-funds/5729.article" TargetMode="External"/><Relationship Id="rId67" Type="http://schemas.openxmlformats.org/officeDocument/2006/relationships/hyperlink" Target="https://www.unpri.org/an-introduction-to-responsible-investment/an-introduction-to-responsible-investment-screening/5834.article" TargetMode="External"/><Relationship Id="rId20" Type="http://schemas.openxmlformats.org/officeDocument/2006/relationships/hyperlink" Target="https://www.unpri.org/reporting-definitions" TargetMode="External"/><Relationship Id="rId41" Type="http://schemas.openxmlformats.org/officeDocument/2006/relationships/hyperlink" Target="https://www.unpri.org/reporting-and-assessment/reporting-framework-glossary/6937.article" TargetMode="External"/><Relationship Id="rId54" Type="http://schemas.openxmlformats.org/officeDocument/2006/relationships/hyperlink" Target="https://www.unpri.org/reporting-and-assessment/reporting-framework-glossary/6937.article" TargetMode="External"/><Relationship Id="rId62" Type="http://schemas.openxmlformats.org/officeDocument/2006/relationships/hyperlink" Target="https://www.unpri.org/reporting-and-assessment/reporting-framework-glossary/6937.article" TargetMode="External"/><Relationship Id="rId70" Type="http://schemas.openxmlformats.org/officeDocument/2006/relationships/hyperlink" Target="https://www.unpri.org/reporting-and-assessment/reporting-framework-glossary/6937.article" TargetMode="External"/><Relationship Id="rId75" Type="http://schemas.openxmlformats.org/officeDocument/2006/relationships/hyperlink" Target="https://www.unpri.org/reporting-and-assessment/reporting-framework-glossary/6937.article"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unpri.org/reporting-definitions" TargetMode="External"/><Relationship Id="rId23" Type="http://schemas.openxmlformats.org/officeDocument/2006/relationships/hyperlink" Target="https://www.unpri.org/reporting-definitions" TargetMode="External"/><Relationship Id="rId28" Type="http://schemas.openxmlformats.org/officeDocument/2006/relationships/hyperlink" Target="https://www.unpri.org/reporting-and-assessment/reporting-framework-glossary/6937.article" TargetMode="External"/><Relationship Id="rId36" Type="http://schemas.openxmlformats.org/officeDocument/2006/relationships/hyperlink" Target="https://www.unpri.org/reporting-definitions" TargetMode="External"/><Relationship Id="rId49" Type="http://schemas.openxmlformats.org/officeDocument/2006/relationships/hyperlink" Target="https://www.unpri.org/hedge-funds/technical-guide-esg-incorporation-in-hedge-funds/5729.article" TargetMode="External"/><Relationship Id="rId57" Type="http://schemas.openxmlformats.org/officeDocument/2006/relationships/hyperlink" Target="https://www.unpri.org/reporting-and-assessment/reporting-framework-glossary/6937.article" TargetMode="External"/><Relationship Id="rId10" Type="http://schemas.openxmlformats.org/officeDocument/2006/relationships/endnotes" Target="endnotes.xml"/><Relationship Id="rId31" Type="http://schemas.openxmlformats.org/officeDocument/2006/relationships/hyperlink" Target="https://www.unpri.org/reporting-and-assessment/reporting-framework-glossary/6937.article" TargetMode="External"/><Relationship Id="rId44" Type="http://schemas.openxmlformats.org/officeDocument/2006/relationships/hyperlink" Target="https://www.unpri.org/reporting-and-assessment/reporting-framework-glossary/6937.article" TargetMode="External"/><Relationship Id="rId52" Type="http://schemas.openxmlformats.org/officeDocument/2006/relationships/hyperlink" Target="https://www.unpri.org/reporting-and-assessment/reporting-framework-glossary/6937.article" TargetMode="External"/><Relationship Id="rId60" Type="http://schemas.openxmlformats.org/officeDocument/2006/relationships/hyperlink" Target="https://www.unpri.org/hedge-funds/technical-guide-esg-incorporation-in-hedge-funds/5729.article" TargetMode="External"/><Relationship Id="rId65" Type="http://schemas.openxmlformats.org/officeDocument/2006/relationships/hyperlink" Target="https://www.unpri.org/reporting-definitions" TargetMode="External"/><Relationship Id="rId73" Type="http://schemas.openxmlformats.org/officeDocument/2006/relationships/hyperlink" Target="https://www.unpri.org/reporting-and-assessment/reporting-framework-glossary/6937.article" TargetMode="External"/><Relationship Id="rId78" Type="http://schemas.openxmlformats.org/officeDocument/2006/relationships/footer" Target="footer1.xml"/><Relationship Id="rId8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unpri.org/reporting-definitions" TargetMode="External"/><Relationship Id="rId18" Type="http://schemas.openxmlformats.org/officeDocument/2006/relationships/hyperlink" Target="https://www.unpri.org/hedge-funds/technical-guide-esg-incorporation-in-hedge-funds/5729.article" TargetMode="External"/><Relationship Id="rId39" Type="http://schemas.openxmlformats.org/officeDocument/2006/relationships/hyperlink" Target="https://www.unpri.org/reporting-and-assessment/reporting-framework-glossary/6937.article" TargetMode="External"/><Relationship Id="rId34" Type="http://schemas.openxmlformats.org/officeDocument/2006/relationships/hyperlink" Target="https://www.unpri.org/hedge-funds/technical-guide-esg-incorporation-in-hedge-funds/5729.article" TargetMode="External"/><Relationship Id="rId50" Type="http://schemas.openxmlformats.org/officeDocument/2006/relationships/hyperlink" Target="https://www.unpri.org/hedge-funds/technical-guide-esg-incorporation-in-hedge-funds/5729.article" TargetMode="External"/><Relationship Id="rId55" Type="http://schemas.openxmlformats.org/officeDocument/2006/relationships/hyperlink" Target="https://www.unpri.org/reporting-and-assessment/reporting-framework-glossary/6937.article" TargetMode="External"/><Relationship Id="rId76" Type="http://schemas.openxmlformats.org/officeDocument/2006/relationships/hyperlink" Target="https://www.unpri.org/hedge-funds/technical-guide-esg-incorporation-in-hedge-funds/5729.article" TargetMode="External"/><Relationship Id="rId7" Type="http://schemas.openxmlformats.org/officeDocument/2006/relationships/settings" Target="settings.xml"/><Relationship Id="rId71" Type="http://schemas.openxmlformats.org/officeDocument/2006/relationships/hyperlink" Target="https://www.unpri.org/reporting-and-assessment/reporting-framework-glossary/6937.article" TargetMode="External"/><Relationship Id="rId2" Type="http://schemas.openxmlformats.org/officeDocument/2006/relationships/customXml" Target="../customXml/item2.xml"/><Relationship Id="rId29" Type="http://schemas.openxmlformats.org/officeDocument/2006/relationships/hyperlink" Target="https://www.unpri.org/reporting-and-assessment/reporting-framework-glossary/6937.article" TargetMode="External"/><Relationship Id="rId24" Type="http://schemas.openxmlformats.org/officeDocument/2006/relationships/hyperlink" Target="https://www.unpri.org/hedge-funds/technical-guide-esg-incorporation-in-hedge-funds/5729.article" TargetMode="External"/><Relationship Id="rId40" Type="http://schemas.openxmlformats.org/officeDocument/2006/relationships/hyperlink" Target="https://www.unpri.org/reporting-and-assessment/reporting-framework-glossary/6937.article" TargetMode="External"/><Relationship Id="rId45" Type="http://schemas.openxmlformats.org/officeDocument/2006/relationships/hyperlink" Target="https://www.unpri.org/hedge-funds/technical-guide-esg-incorporation-in-hedge-funds/5729.article" TargetMode="External"/><Relationship Id="rId66" Type="http://schemas.openxmlformats.org/officeDocument/2006/relationships/hyperlink" Target="https://www.unpri.org/reporting-definitions"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mailto:reporting@unpri.org" TargetMode="External"/><Relationship Id="rId1" Type="http://schemas.openxmlformats.org/officeDocument/2006/relationships/hyperlink" Target="mailto:reporting@unpri.org"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reporting@unpri.org" TargetMode="External"/><Relationship Id="rId2" Type="http://schemas.openxmlformats.org/officeDocument/2006/relationships/hyperlink" Target="mailto:reporting@unpri.org" TargetMode="External"/><Relationship Id="rId1" Type="http://schemas.openxmlformats.org/officeDocument/2006/relationships/image" Target="media/image3.png"/><Relationship Id="rId5" Type="http://schemas.openxmlformats.org/officeDocument/2006/relationships/image" Target="media/image6.jpg"/><Relationship Id="rId4"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0AB7C73F8273E4BAC8C97C539FF78CD" ma:contentTypeVersion="23" ma:contentTypeDescription="Create a new document." ma:contentTypeScope="" ma:versionID="8dbbd2a819c84d355848d658fd210462">
  <xsd:schema xmlns:xsd="http://www.w3.org/2001/XMLSchema" xmlns:xs="http://www.w3.org/2001/XMLSchema" xmlns:p="http://schemas.microsoft.com/office/2006/metadata/properties" xmlns:ns2="58f4f345-4ad1-474b-8443-5afef2d903e3" xmlns:ns3="d1f2cb5e-90ed-446c-b55a-c8efd3225fcc" xmlns:ns4="dfe8e5e2-cac9-475e-8829-d37eb43a1190" targetNamespace="http://schemas.microsoft.com/office/2006/metadata/properties" ma:root="true" ma:fieldsID="60d892c4a71f5fc6da58112cdacf56bf" ns2:_="" ns3:_="" ns4:_="">
    <xsd:import namespace="58f4f345-4ad1-474b-8443-5afef2d903e3"/>
    <xsd:import namespace="d1f2cb5e-90ed-446c-b55a-c8efd3225fcc"/>
    <xsd:import namespace="dfe8e5e2-cac9-475e-8829-d37eb43a1190"/>
    <xsd:element name="properties">
      <xsd:complexType>
        <xsd:sequence>
          <xsd:element name="documentManagement">
            <xsd:complexType>
              <xsd:all>
                <xsd:element ref="ns2:SharedWithUsers" minOccurs="0"/>
                <xsd:element ref="ns2:SharingHintHash" minOccurs="0"/>
                <xsd:element ref="ns2:SharedWithDetails"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Comments" minOccurs="0"/>
                <xsd:element ref="ns4:MediaServiceEventHashCode" minOccurs="0"/>
                <xsd:element ref="ns4:MediaServiceGenerationTime" minOccurs="0"/>
                <xsd:element ref="ns4:MediaServiceOCR" minOccurs="0"/>
                <xsd:element ref="ns4:MediaServiceAutoKeyPoints" minOccurs="0"/>
                <xsd:element ref="ns4:MediaServiceKeyPoints" minOccurs="0"/>
                <xsd:element ref="ns4:MediaLengthInSeconds" minOccurs="0"/>
                <xsd:element ref="ns4:lcf76f155ced4ddcb4097134ff3c332f" minOccurs="0"/>
                <xsd:element ref="ns3:TaxCatchAll" minOccurs="0"/>
                <xsd:element ref="ns4:Date" minOccurs="0"/>
                <xsd:element ref="ns4:MediaServiceObjectDetectorVersions" minOccurs="0"/>
                <xsd:element ref="ns4:MediaServiceLocation"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f4f345-4ad1-474b-8443-5afef2d903e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f2cb5e-90ed-446c-b55a-c8efd3225fcc" elementFormDefault="qualified">
    <xsd:import namespace="http://schemas.microsoft.com/office/2006/documentManagement/types"/>
    <xsd:import namespace="http://schemas.microsoft.com/office/infopath/2007/PartnerControls"/>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element name="TaxCatchAll" ma:index="26" nillable="true" ma:displayName="Taxonomy Catch All Column" ma:hidden="true" ma:list="{3c09748c-ffa1-40e6-81ea-584adcb248df}" ma:internalName="TaxCatchAll" ma:showField="CatchAllData" ma:web="d1f2cb5e-90ed-446c-b55a-c8efd3225f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fe8e5e2-cac9-475e-8829-d37eb43a1190"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Comments" ma:index="17" nillable="true" ma:displayName="Comments (files can be opened in Notepad++ or SQL Management Studio)" ma:internalName="Comments">
      <xsd:simpleType>
        <xsd:restriction base="dms:Text">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0c3e079f-49a6-4469-a386-52a810ba0905" ma:termSetId="09814cd3-568e-fe90-9814-8d621ff8fb84" ma:anchorId="fba54fb3-c3e1-fe81-a776-ca4b69148c4d" ma:open="true" ma:isKeyword="false">
      <xsd:complexType>
        <xsd:sequence>
          <xsd:element ref="pc:Terms" minOccurs="0" maxOccurs="1"/>
        </xsd:sequence>
      </xsd:complexType>
    </xsd:element>
    <xsd:element name="Date" ma:index="27" nillable="true" ma:displayName="Date" ma:format="DateOnly" ma:internalName="Date">
      <xsd:simpleType>
        <xsd:restriction base="dms:DateTime"/>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Location" ma:index="29" nillable="true" ma:displayName="Location" ma:indexed="true" ma:internalName="MediaServiceLocation"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1f2cb5e-90ed-446c-b55a-c8efd3225fcc" xsi:nil="true"/>
    <SharedWithUsers xmlns="58f4f345-4ad1-474b-8443-5afef2d903e3">
      <UserInfo>
        <DisplayName/>
        <AccountId xsi:nil="true"/>
        <AccountType/>
      </UserInfo>
    </SharedWithUsers>
    <lcf76f155ced4ddcb4097134ff3c332f xmlns="dfe8e5e2-cac9-475e-8829-d37eb43a1190">
      <Terms xmlns="http://schemas.microsoft.com/office/infopath/2007/PartnerControls"/>
    </lcf76f155ced4ddcb4097134ff3c332f>
    <MediaLengthInSeconds xmlns="dfe8e5e2-cac9-475e-8829-d37eb43a1190" xsi:nil="true"/>
    <Comments xmlns="dfe8e5e2-cac9-475e-8829-d37eb43a1190" xsi:nil="true"/>
    <Date xmlns="dfe8e5e2-cac9-475e-8829-d37eb43a1190" xsi:nil="true"/>
  </documentManagement>
</p:properties>
</file>

<file path=customXml/itemProps1.xml><?xml version="1.0" encoding="utf-8"?>
<ds:datastoreItem xmlns:ds="http://schemas.openxmlformats.org/officeDocument/2006/customXml" ds:itemID="{54FE8DD4-BDB8-4963-A5BD-8393EADB9A9B}">
  <ds:schemaRefs>
    <ds:schemaRef ds:uri="http://schemas.openxmlformats.org/officeDocument/2006/bibliography"/>
  </ds:schemaRefs>
</ds:datastoreItem>
</file>

<file path=customXml/itemProps2.xml><?xml version="1.0" encoding="utf-8"?>
<ds:datastoreItem xmlns:ds="http://schemas.openxmlformats.org/officeDocument/2006/customXml" ds:itemID="{547C1441-9811-4D54-B0B4-3406564D0A31}"/>
</file>

<file path=customXml/itemProps3.xml><?xml version="1.0" encoding="utf-8"?>
<ds:datastoreItem xmlns:ds="http://schemas.openxmlformats.org/officeDocument/2006/customXml" ds:itemID="{C057DBA0-BF2E-4C1F-A341-B383B353EA51}">
  <ds:schemaRefs>
    <ds:schemaRef ds:uri="http://schemas.microsoft.com/sharepoint/v3/contenttype/forms"/>
  </ds:schemaRefs>
</ds:datastoreItem>
</file>

<file path=customXml/itemProps4.xml><?xml version="1.0" encoding="utf-8"?>
<ds:datastoreItem xmlns:ds="http://schemas.openxmlformats.org/officeDocument/2006/customXml" ds:itemID="{F57DDAC0-1522-441B-BC73-3219AD52EA12}">
  <ds:schemaRefs>
    <ds:schemaRef ds:uri="http://schemas.openxmlformats.org/package/2006/metadata/core-properties"/>
    <ds:schemaRef ds:uri="http://schemas.microsoft.com/office/2006/metadata/properties"/>
    <ds:schemaRef ds:uri="http://purl.org/dc/elements/1.1/"/>
    <ds:schemaRef ds:uri="http://www.w3.org/XML/1998/namespace"/>
    <ds:schemaRef ds:uri="http://schemas.microsoft.com/office/2006/documentManagement/types"/>
    <ds:schemaRef ds:uri="d1f2cb5e-90ed-446c-b55a-c8efd3225fcc"/>
    <ds:schemaRef ds:uri="http://purl.org/dc/dcmitype/"/>
    <ds:schemaRef ds:uri="http://purl.org/dc/terms/"/>
    <ds:schemaRef ds:uri="http://schemas.microsoft.com/office/infopath/2007/PartnerControls"/>
    <ds:schemaRef ds:uri="ce9f464a-38ab-4e51-b579-0fabda9351e2"/>
    <ds:schemaRef ds:uri="7becdc6d-7c0a-4bd5-a4ea-fb4709a0340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7696</Words>
  <Characters>43869</Characters>
  <Application>Microsoft Office Word</Application>
  <DocSecurity>0</DocSecurity>
  <Lines>365</Lines>
  <Paragraphs>102</Paragraphs>
  <ScaleCrop>false</ScaleCrop>
  <Company/>
  <LinksUpToDate>false</LinksUpToDate>
  <CharactersWithSpaces>51463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Alessandro Boaretto</dc:creator>
  <cp:keywords/>
  <dc:description/>
  <cp:lastModifiedBy>Annaïg Antoine-Miermont</cp:lastModifiedBy>
  <cp:revision>16</cp:revision>
  <cp:lastPrinted>2023-05-11T15:20:00Z</cp:lastPrinted>
  <dcterms:created xsi:type="dcterms:W3CDTF">2023-02-23T16:01:00Z</dcterms:created>
  <dcterms:modified xsi:type="dcterms:W3CDTF">2023-05-11T15:20:00Z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0x010100C0AB7C73F8273E4BAC8C97C539FF78CD</vt:lpwstr>
  </property>
  <property fmtid="{D5CDD505-2E9C-101B-9397-08002B2CF9AE}" pid="3" name="Lastedited">
    <vt:lpwstr/>
  </property>
  <property fmtid="{D5CDD505-2E9C-101B-9397-08002B2CF9AE}" pid="4" name="MediaServiceImageTags">
    <vt:lpwstr/>
  </property>
  <property fmtid="{D5CDD505-2E9C-101B-9397-08002B2CF9AE}" pid="5" name="Order">
    <vt:r8>13100</vt:r8>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_ExtendedDescription">
    <vt:lpwstr/>
  </property>
  <property fmtid="{D5CDD505-2E9C-101B-9397-08002B2CF9AE}" pid="11" name="TriggerFlowInfo">
    <vt:lpwstr/>
  </property>
</Properties>
</file>